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DFB15" w14:textId="77777777" w:rsidR="00E945A2" w:rsidRPr="000531F6" w:rsidRDefault="00E945A2">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14144"/>
      </w:tblGrid>
      <w:tr w:rsidR="00A87DC6" w:rsidRPr="000531F6" w14:paraId="4E3B9804" w14:textId="77777777" w:rsidTr="00A87DC6">
        <w:trPr>
          <w:trHeight w:val="300"/>
        </w:trPr>
        <w:tc>
          <w:tcPr>
            <w:tcW w:w="5000" w:type="pct"/>
            <w:tcBorders>
              <w:top w:val="nil"/>
              <w:left w:val="nil"/>
              <w:bottom w:val="nil"/>
              <w:right w:val="nil"/>
            </w:tcBorders>
            <w:shd w:val="clear" w:color="auto" w:fill="auto"/>
            <w:vAlign w:val="bottom"/>
            <w:hideMark/>
          </w:tcPr>
          <w:p w14:paraId="685634FC" w14:textId="61A362C6" w:rsidR="00A87DC6" w:rsidRPr="000531F6" w:rsidRDefault="00A87DC6" w:rsidP="00A87DC6">
            <w:pPr>
              <w:spacing w:after="0" w:line="240" w:lineRule="auto"/>
              <w:jc w:val="right"/>
              <w:rPr>
                <w:rFonts w:ascii="Arial" w:eastAsia="Times New Roman" w:hAnsi="Arial" w:cs="Arial"/>
                <w:color w:val="000000"/>
                <w:sz w:val="24"/>
                <w:szCs w:val="24"/>
                <w:lang w:eastAsia="pl-PL"/>
              </w:rPr>
            </w:pPr>
            <w:r w:rsidRPr="000531F6">
              <w:rPr>
                <w:rFonts w:ascii="Arial" w:eastAsia="Times New Roman" w:hAnsi="Arial" w:cs="Arial"/>
                <w:color w:val="000000"/>
                <w:sz w:val="24"/>
                <w:szCs w:val="24"/>
                <w:lang w:eastAsia="pl-PL"/>
              </w:rPr>
              <w:t>za</w:t>
            </w:r>
            <w:r w:rsidR="006B1902" w:rsidRPr="000531F6">
              <w:rPr>
                <w:rFonts w:ascii="Arial" w:eastAsia="Times New Roman" w:hAnsi="Arial" w:cs="Arial"/>
                <w:color w:val="000000"/>
                <w:sz w:val="24"/>
                <w:szCs w:val="24"/>
                <w:lang w:eastAsia="pl-PL"/>
              </w:rPr>
              <w:t xml:space="preserve">łącznik nr 5 do </w:t>
            </w:r>
            <w:r w:rsidR="00C1412F" w:rsidRPr="000531F6">
              <w:rPr>
                <w:rFonts w:ascii="Arial" w:hAnsi="Arial" w:cs="Arial"/>
                <w:sz w:val="24"/>
                <w:szCs w:val="24"/>
              </w:rPr>
              <w:t>S</w:t>
            </w:r>
            <w:r w:rsidR="004D2C9B" w:rsidRPr="000531F6">
              <w:rPr>
                <w:rFonts w:ascii="Arial" w:hAnsi="Arial" w:cs="Arial"/>
                <w:sz w:val="24"/>
                <w:szCs w:val="24"/>
              </w:rPr>
              <w:t xml:space="preserve">WZ </w:t>
            </w:r>
            <w:r w:rsidR="00C83A70">
              <w:rPr>
                <w:rFonts w:ascii="Arial" w:hAnsi="Arial" w:cs="Arial"/>
                <w:sz w:val="24"/>
                <w:szCs w:val="24"/>
              </w:rPr>
              <w:t>SM</w:t>
            </w:r>
            <w:r w:rsidR="00C1412F" w:rsidRPr="000531F6">
              <w:rPr>
                <w:rFonts w:ascii="Arial" w:hAnsi="Arial" w:cs="Arial"/>
                <w:sz w:val="24"/>
                <w:szCs w:val="24"/>
              </w:rPr>
              <w:t xml:space="preserve"> </w:t>
            </w:r>
            <w:r w:rsidR="004D2C9B" w:rsidRPr="000531F6">
              <w:rPr>
                <w:rFonts w:ascii="Arial" w:hAnsi="Arial" w:cs="Arial"/>
                <w:sz w:val="24"/>
                <w:szCs w:val="24"/>
              </w:rPr>
              <w:t>COVID</w:t>
            </w:r>
          </w:p>
        </w:tc>
      </w:tr>
    </w:tbl>
    <w:p w14:paraId="5F439D94" w14:textId="77777777" w:rsidR="00A87DC6" w:rsidRPr="000531F6" w:rsidRDefault="00A87DC6">
      <w:pPr>
        <w:rPr>
          <w:rFonts w:ascii="Arial" w:hAnsi="Arial" w:cs="Arial"/>
          <w:sz w:val="24"/>
          <w:szCs w:val="24"/>
        </w:rPr>
      </w:pPr>
    </w:p>
    <w:tbl>
      <w:tblPr>
        <w:tblW w:w="5078" w:type="pct"/>
        <w:tblLayout w:type="fixed"/>
        <w:tblCellMar>
          <w:left w:w="70" w:type="dxa"/>
          <w:right w:w="70" w:type="dxa"/>
        </w:tblCellMar>
        <w:tblLook w:val="04A0" w:firstRow="1" w:lastRow="0" w:firstColumn="1" w:lastColumn="0" w:noHBand="0" w:noVBand="1"/>
      </w:tblPr>
      <w:tblGrid>
        <w:gridCol w:w="735"/>
        <w:gridCol w:w="2412"/>
        <w:gridCol w:w="1290"/>
        <w:gridCol w:w="9928"/>
      </w:tblGrid>
      <w:tr w:rsidR="006B1902" w:rsidRPr="000531F6" w14:paraId="7A645F66" w14:textId="77777777" w:rsidTr="00575B99">
        <w:tc>
          <w:tcPr>
            <w:tcW w:w="1421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0012596" w14:textId="77777777" w:rsidR="004C7E72" w:rsidRPr="000531F6" w:rsidRDefault="004C7E72" w:rsidP="004C7E72">
            <w:pPr>
              <w:spacing w:after="0"/>
              <w:ind w:left="1416"/>
              <w:jc w:val="center"/>
              <w:rPr>
                <w:rFonts w:ascii="Arial" w:hAnsi="Arial" w:cs="Arial"/>
                <w:sz w:val="24"/>
                <w:szCs w:val="24"/>
              </w:rPr>
            </w:pPr>
          </w:p>
          <w:p w14:paraId="070BB7C6" w14:textId="20029740" w:rsidR="006B1902" w:rsidRPr="000531F6" w:rsidRDefault="004D2C9B" w:rsidP="000E7EC0">
            <w:pPr>
              <w:spacing w:after="0" w:line="240" w:lineRule="auto"/>
              <w:jc w:val="center"/>
              <w:rPr>
                <w:rFonts w:ascii="Arial" w:hAnsi="Arial" w:cs="Arial"/>
                <w:i/>
                <w:sz w:val="24"/>
                <w:szCs w:val="24"/>
              </w:rPr>
            </w:pPr>
            <w:r w:rsidRPr="000531F6">
              <w:rPr>
                <w:rFonts w:ascii="Arial" w:hAnsi="Arial" w:cs="Arial"/>
                <w:sz w:val="24"/>
                <w:szCs w:val="24"/>
                <w:lang w:bidi="pl-PL"/>
              </w:rPr>
              <w:t>„</w:t>
            </w:r>
            <w:r w:rsidRPr="000531F6">
              <w:rPr>
                <w:rFonts w:ascii="Arial" w:hAnsi="Arial" w:cs="Arial"/>
                <w:b/>
                <w:sz w:val="24"/>
                <w:szCs w:val="24"/>
              </w:rPr>
              <w:t xml:space="preserve">DOSTAWA </w:t>
            </w:r>
            <w:r w:rsidR="00C83A70">
              <w:rPr>
                <w:rFonts w:ascii="Arial" w:hAnsi="Arial" w:cs="Arial"/>
                <w:b/>
                <w:sz w:val="24"/>
                <w:szCs w:val="24"/>
              </w:rPr>
              <w:t xml:space="preserve">SPRZĘTU WSPIERAJĄCEGO </w:t>
            </w:r>
            <w:r w:rsidRPr="000531F6">
              <w:rPr>
                <w:rFonts w:ascii="Arial" w:hAnsi="Arial" w:cs="Arial"/>
                <w:b/>
                <w:sz w:val="24"/>
                <w:szCs w:val="24"/>
              </w:rPr>
              <w:t>– COVID-19”</w:t>
            </w:r>
          </w:p>
          <w:p w14:paraId="6795D6F5" w14:textId="77777777" w:rsidR="004D2C9B" w:rsidRPr="000531F6" w:rsidRDefault="004D2C9B" w:rsidP="000E7EC0">
            <w:pPr>
              <w:spacing w:after="0" w:line="240" w:lineRule="auto"/>
              <w:jc w:val="center"/>
              <w:rPr>
                <w:rFonts w:ascii="Arial" w:eastAsia="Times New Roman" w:hAnsi="Arial" w:cs="Arial"/>
                <w:b/>
                <w:bCs/>
                <w:color w:val="000000"/>
                <w:sz w:val="24"/>
                <w:szCs w:val="24"/>
                <w:lang w:eastAsia="pl-PL"/>
              </w:rPr>
            </w:pPr>
          </w:p>
        </w:tc>
      </w:tr>
      <w:tr w:rsidR="006B1902" w:rsidRPr="000531F6" w14:paraId="36CA0F64" w14:textId="77777777" w:rsidTr="00C1412F">
        <w:tc>
          <w:tcPr>
            <w:tcW w:w="728" w:type="dxa"/>
            <w:tcBorders>
              <w:top w:val="nil"/>
              <w:left w:val="nil"/>
              <w:bottom w:val="single" w:sz="4" w:space="0" w:color="auto"/>
              <w:right w:val="nil"/>
            </w:tcBorders>
            <w:shd w:val="clear" w:color="auto" w:fill="auto"/>
            <w:vAlign w:val="bottom"/>
            <w:hideMark/>
          </w:tcPr>
          <w:p w14:paraId="77ACC98E" w14:textId="77777777" w:rsidR="006B1902" w:rsidRPr="000531F6" w:rsidRDefault="006B1902" w:rsidP="000E7EC0">
            <w:pPr>
              <w:spacing w:after="0" w:line="240" w:lineRule="auto"/>
              <w:jc w:val="center"/>
              <w:rPr>
                <w:rFonts w:ascii="Arial" w:eastAsia="Times New Roman" w:hAnsi="Arial" w:cs="Arial"/>
                <w:b/>
                <w:bCs/>
                <w:color w:val="000000"/>
                <w:sz w:val="24"/>
                <w:szCs w:val="24"/>
                <w:lang w:eastAsia="pl-PL"/>
              </w:rPr>
            </w:pPr>
          </w:p>
        </w:tc>
        <w:tc>
          <w:tcPr>
            <w:tcW w:w="2386" w:type="dxa"/>
            <w:tcBorders>
              <w:top w:val="nil"/>
              <w:left w:val="nil"/>
              <w:bottom w:val="single" w:sz="4" w:space="0" w:color="auto"/>
              <w:right w:val="nil"/>
            </w:tcBorders>
            <w:shd w:val="clear" w:color="auto" w:fill="auto"/>
            <w:vAlign w:val="bottom"/>
            <w:hideMark/>
          </w:tcPr>
          <w:p w14:paraId="3ABD5661" w14:textId="77777777" w:rsidR="006B1902" w:rsidRPr="000531F6" w:rsidRDefault="006B1902" w:rsidP="000E7EC0">
            <w:pPr>
              <w:spacing w:after="0" w:line="240" w:lineRule="auto"/>
              <w:rPr>
                <w:rFonts w:ascii="Arial" w:eastAsia="Times New Roman" w:hAnsi="Arial" w:cs="Arial"/>
                <w:sz w:val="24"/>
                <w:szCs w:val="24"/>
                <w:lang w:eastAsia="pl-PL"/>
              </w:rPr>
            </w:pPr>
          </w:p>
        </w:tc>
        <w:tc>
          <w:tcPr>
            <w:tcW w:w="1276" w:type="dxa"/>
            <w:tcBorders>
              <w:top w:val="nil"/>
              <w:left w:val="nil"/>
              <w:bottom w:val="single" w:sz="4" w:space="0" w:color="auto"/>
              <w:right w:val="nil"/>
            </w:tcBorders>
            <w:shd w:val="clear" w:color="auto" w:fill="auto"/>
            <w:vAlign w:val="bottom"/>
            <w:hideMark/>
          </w:tcPr>
          <w:p w14:paraId="0CA7A294" w14:textId="77777777" w:rsidR="006B1902" w:rsidRPr="000531F6" w:rsidRDefault="006B1902" w:rsidP="000E7EC0">
            <w:pPr>
              <w:spacing w:after="0" w:line="240" w:lineRule="auto"/>
              <w:rPr>
                <w:rFonts w:ascii="Arial" w:eastAsia="Times New Roman" w:hAnsi="Arial" w:cs="Arial"/>
                <w:sz w:val="24"/>
                <w:szCs w:val="24"/>
                <w:lang w:eastAsia="pl-PL"/>
              </w:rPr>
            </w:pPr>
          </w:p>
        </w:tc>
        <w:tc>
          <w:tcPr>
            <w:tcW w:w="9822" w:type="dxa"/>
            <w:tcBorders>
              <w:top w:val="nil"/>
              <w:left w:val="nil"/>
              <w:bottom w:val="single" w:sz="4" w:space="0" w:color="auto"/>
              <w:right w:val="nil"/>
            </w:tcBorders>
            <w:shd w:val="clear" w:color="auto" w:fill="auto"/>
            <w:vAlign w:val="bottom"/>
            <w:hideMark/>
          </w:tcPr>
          <w:p w14:paraId="1614CB5B" w14:textId="77777777" w:rsidR="006B1902" w:rsidRPr="000531F6" w:rsidRDefault="006B1902" w:rsidP="000E7EC0">
            <w:pPr>
              <w:spacing w:after="0" w:line="240" w:lineRule="auto"/>
              <w:rPr>
                <w:rFonts w:ascii="Arial" w:eastAsia="Times New Roman" w:hAnsi="Arial" w:cs="Arial"/>
                <w:sz w:val="24"/>
                <w:szCs w:val="24"/>
                <w:lang w:eastAsia="pl-PL"/>
              </w:rPr>
            </w:pPr>
          </w:p>
        </w:tc>
      </w:tr>
      <w:tr w:rsidR="00575B99" w:rsidRPr="000531F6" w14:paraId="3B59BE98" w14:textId="77777777" w:rsidTr="00C1412F">
        <w:tc>
          <w:tcPr>
            <w:tcW w:w="7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BD450D" w14:textId="77777777" w:rsidR="00575B99" w:rsidRPr="000531F6" w:rsidRDefault="00575B99" w:rsidP="00575B99">
            <w:pPr>
              <w:spacing w:after="0" w:line="240" w:lineRule="auto"/>
              <w:jc w:val="center"/>
              <w:rPr>
                <w:rFonts w:ascii="Arial" w:eastAsia="Times New Roman" w:hAnsi="Arial" w:cs="Arial"/>
                <w:b/>
                <w:color w:val="000000"/>
                <w:sz w:val="24"/>
                <w:szCs w:val="24"/>
                <w:lang w:eastAsia="pl-PL"/>
              </w:rPr>
            </w:pPr>
            <w:r w:rsidRPr="000531F6">
              <w:rPr>
                <w:rFonts w:ascii="Arial" w:eastAsia="Times New Roman" w:hAnsi="Arial" w:cs="Arial"/>
                <w:b/>
                <w:color w:val="000000"/>
                <w:sz w:val="24"/>
                <w:szCs w:val="24"/>
                <w:lang w:eastAsia="pl-PL"/>
              </w:rPr>
              <w:t>lp.</w:t>
            </w:r>
          </w:p>
        </w:tc>
        <w:tc>
          <w:tcPr>
            <w:tcW w:w="2386" w:type="dxa"/>
            <w:tcBorders>
              <w:top w:val="single" w:sz="4" w:space="0" w:color="auto"/>
              <w:left w:val="nil"/>
              <w:bottom w:val="single" w:sz="4" w:space="0" w:color="auto"/>
              <w:right w:val="single" w:sz="4" w:space="0" w:color="auto"/>
            </w:tcBorders>
            <w:shd w:val="clear" w:color="auto" w:fill="auto"/>
            <w:vAlign w:val="bottom"/>
            <w:hideMark/>
          </w:tcPr>
          <w:p w14:paraId="780EAF67" w14:textId="77777777" w:rsidR="00575B99" w:rsidRPr="000531F6" w:rsidRDefault="00575B99" w:rsidP="00575B99">
            <w:pPr>
              <w:spacing w:after="0" w:line="240" w:lineRule="auto"/>
              <w:jc w:val="center"/>
              <w:rPr>
                <w:rFonts w:ascii="Arial" w:eastAsia="Times New Roman" w:hAnsi="Arial" w:cs="Arial"/>
                <w:b/>
                <w:color w:val="000000"/>
                <w:sz w:val="24"/>
                <w:szCs w:val="24"/>
                <w:lang w:eastAsia="pl-PL"/>
              </w:rPr>
            </w:pPr>
            <w:r w:rsidRPr="000531F6">
              <w:rPr>
                <w:rFonts w:ascii="Arial" w:eastAsia="Times New Roman" w:hAnsi="Arial" w:cs="Arial"/>
                <w:b/>
                <w:color w:val="000000"/>
                <w:sz w:val="24"/>
                <w:szCs w:val="24"/>
                <w:lang w:eastAsia="pl-PL"/>
              </w:rPr>
              <w:t>nazwa</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66BFEA6" w14:textId="5FD88BB5" w:rsidR="00575B99" w:rsidRPr="000531F6" w:rsidRDefault="00575B99" w:rsidP="00575B99">
            <w:pPr>
              <w:spacing w:after="0" w:line="240" w:lineRule="auto"/>
              <w:jc w:val="center"/>
              <w:rPr>
                <w:rFonts w:ascii="Arial" w:eastAsia="Times New Roman" w:hAnsi="Arial" w:cs="Arial"/>
                <w:b/>
                <w:color w:val="000000"/>
                <w:sz w:val="24"/>
                <w:szCs w:val="24"/>
                <w:lang w:eastAsia="pl-PL"/>
              </w:rPr>
            </w:pPr>
            <w:r w:rsidRPr="000531F6">
              <w:rPr>
                <w:rFonts w:ascii="Arial" w:eastAsia="Times New Roman" w:hAnsi="Arial" w:cs="Arial"/>
                <w:b/>
                <w:color w:val="000000"/>
                <w:sz w:val="24"/>
                <w:szCs w:val="24"/>
                <w:lang w:eastAsia="pl-PL"/>
              </w:rPr>
              <w:t xml:space="preserve">Ilość </w:t>
            </w:r>
            <w:r w:rsidR="003626A3" w:rsidRPr="000531F6">
              <w:rPr>
                <w:rFonts w:ascii="Arial" w:eastAsia="Times New Roman" w:hAnsi="Arial" w:cs="Arial"/>
                <w:b/>
                <w:color w:val="000000"/>
                <w:sz w:val="24"/>
                <w:szCs w:val="24"/>
                <w:lang w:eastAsia="pl-PL"/>
              </w:rPr>
              <w:t>kpl</w:t>
            </w:r>
          </w:p>
        </w:tc>
        <w:tc>
          <w:tcPr>
            <w:tcW w:w="9822" w:type="dxa"/>
            <w:tcBorders>
              <w:top w:val="single" w:sz="4" w:space="0" w:color="auto"/>
              <w:left w:val="nil"/>
              <w:bottom w:val="single" w:sz="4" w:space="0" w:color="auto"/>
              <w:right w:val="single" w:sz="4" w:space="0" w:color="auto"/>
            </w:tcBorders>
            <w:shd w:val="clear" w:color="auto" w:fill="auto"/>
            <w:vAlign w:val="center"/>
            <w:hideMark/>
          </w:tcPr>
          <w:p w14:paraId="581511D3" w14:textId="77777777" w:rsidR="00575B99" w:rsidRPr="000531F6" w:rsidRDefault="00575B99" w:rsidP="00575B99">
            <w:pPr>
              <w:spacing w:after="0" w:line="240" w:lineRule="auto"/>
              <w:jc w:val="center"/>
              <w:rPr>
                <w:rFonts w:ascii="Arial" w:eastAsia="Times New Roman" w:hAnsi="Arial" w:cs="Arial"/>
                <w:b/>
                <w:bCs/>
                <w:color w:val="000000"/>
                <w:sz w:val="24"/>
                <w:szCs w:val="24"/>
                <w:lang w:eastAsia="pl-PL"/>
              </w:rPr>
            </w:pPr>
            <w:r w:rsidRPr="000531F6">
              <w:rPr>
                <w:rFonts w:ascii="Arial" w:eastAsia="Times New Roman" w:hAnsi="Arial" w:cs="Arial"/>
                <w:b/>
                <w:bCs/>
                <w:color w:val="000000"/>
                <w:sz w:val="24"/>
                <w:szCs w:val="24"/>
                <w:lang w:eastAsia="pl-PL"/>
              </w:rPr>
              <w:t>PARAMETRY TECHNICZNE – MINIMALNE WYMAGANIA</w:t>
            </w:r>
          </w:p>
        </w:tc>
      </w:tr>
      <w:tr w:rsidR="00575B99" w:rsidRPr="000531F6" w14:paraId="6BED61D8" w14:textId="77777777" w:rsidTr="00C1412F">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1991E" w14:textId="77777777" w:rsidR="00A870DF" w:rsidRPr="000531F6" w:rsidRDefault="00A870DF" w:rsidP="00F04586">
            <w:pPr>
              <w:spacing w:after="0" w:line="240" w:lineRule="auto"/>
              <w:jc w:val="right"/>
              <w:rPr>
                <w:rFonts w:ascii="Arial" w:eastAsia="Times New Roman" w:hAnsi="Arial" w:cs="Arial"/>
                <w:color w:val="000000"/>
                <w:sz w:val="24"/>
                <w:szCs w:val="24"/>
                <w:lang w:eastAsia="pl-PL"/>
              </w:rPr>
            </w:pPr>
          </w:p>
          <w:p w14:paraId="5B8C142D" w14:textId="77777777" w:rsidR="00575B99" w:rsidRPr="000531F6" w:rsidRDefault="00575B99" w:rsidP="00F04586">
            <w:pPr>
              <w:spacing w:after="0" w:line="240" w:lineRule="auto"/>
              <w:jc w:val="right"/>
              <w:rPr>
                <w:rFonts w:ascii="Arial" w:eastAsia="Times New Roman" w:hAnsi="Arial" w:cs="Arial"/>
                <w:color w:val="000000"/>
                <w:sz w:val="24"/>
                <w:szCs w:val="24"/>
                <w:lang w:eastAsia="pl-PL"/>
              </w:rPr>
            </w:pPr>
            <w:r w:rsidRPr="000531F6">
              <w:rPr>
                <w:rFonts w:ascii="Arial" w:eastAsia="Times New Roman" w:hAnsi="Arial" w:cs="Arial"/>
                <w:color w:val="000000"/>
                <w:sz w:val="24"/>
                <w:szCs w:val="24"/>
                <w:lang w:eastAsia="pl-PL"/>
              </w:rPr>
              <w:t>1</w:t>
            </w:r>
          </w:p>
        </w:tc>
        <w:tc>
          <w:tcPr>
            <w:tcW w:w="2386" w:type="dxa"/>
            <w:tcBorders>
              <w:top w:val="single" w:sz="4" w:space="0" w:color="auto"/>
              <w:left w:val="nil"/>
              <w:bottom w:val="single" w:sz="4" w:space="0" w:color="auto"/>
              <w:right w:val="single" w:sz="4" w:space="0" w:color="auto"/>
            </w:tcBorders>
            <w:shd w:val="clear" w:color="auto" w:fill="auto"/>
            <w:vAlign w:val="center"/>
            <w:hideMark/>
          </w:tcPr>
          <w:p w14:paraId="27EEDAFD" w14:textId="1FDCBFBB" w:rsidR="00575B99" w:rsidRPr="000531F6" w:rsidRDefault="003626A3" w:rsidP="00C1412F">
            <w:pPr>
              <w:spacing w:after="0" w:line="240" w:lineRule="auto"/>
              <w:jc w:val="center"/>
              <w:rPr>
                <w:rFonts w:ascii="Arial" w:eastAsia="Times New Roman" w:hAnsi="Arial" w:cs="Arial"/>
                <w:color w:val="000000"/>
                <w:sz w:val="24"/>
                <w:szCs w:val="24"/>
                <w:lang w:eastAsia="pl-PL"/>
              </w:rPr>
            </w:pPr>
            <w:r w:rsidRPr="000531F6">
              <w:rPr>
                <w:rFonts w:ascii="Arial" w:eastAsia="Times New Roman" w:hAnsi="Arial" w:cs="Arial"/>
                <w:color w:val="000000"/>
                <w:sz w:val="24"/>
                <w:szCs w:val="24"/>
                <w:lang w:eastAsia="pl-PL"/>
              </w:rPr>
              <w:t xml:space="preserve">Lampa bakteriobójcza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16CDEF1" w14:textId="18EB6D52" w:rsidR="00B06A82" w:rsidRPr="000531F6" w:rsidRDefault="00504805" w:rsidP="00575B99">
            <w:pPr>
              <w:spacing w:after="0" w:line="240" w:lineRule="auto"/>
              <w:jc w:val="right"/>
              <w:rPr>
                <w:rFonts w:ascii="Arial" w:eastAsia="Times New Roman" w:hAnsi="Arial" w:cs="Arial"/>
                <w:color w:val="000000"/>
                <w:sz w:val="24"/>
                <w:szCs w:val="24"/>
                <w:lang w:eastAsia="pl-PL"/>
              </w:rPr>
            </w:pPr>
            <w:r w:rsidRPr="000531F6">
              <w:rPr>
                <w:rFonts w:ascii="Arial" w:eastAsia="Times New Roman" w:hAnsi="Arial" w:cs="Arial"/>
                <w:color w:val="000000"/>
                <w:sz w:val="24"/>
                <w:szCs w:val="24"/>
                <w:lang w:eastAsia="pl-PL"/>
              </w:rPr>
              <w:t>12</w:t>
            </w:r>
          </w:p>
        </w:tc>
        <w:tc>
          <w:tcPr>
            <w:tcW w:w="9822" w:type="dxa"/>
            <w:tcBorders>
              <w:top w:val="single" w:sz="4" w:space="0" w:color="auto"/>
              <w:left w:val="nil"/>
              <w:bottom w:val="single" w:sz="4" w:space="0" w:color="auto"/>
              <w:right w:val="single" w:sz="4" w:space="0" w:color="auto"/>
            </w:tcBorders>
            <w:shd w:val="clear" w:color="auto" w:fill="auto"/>
            <w:vAlign w:val="bottom"/>
            <w:hideMark/>
          </w:tcPr>
          <w:p w14:paraId="6D803E92" w14:textId="036E08A5" w:rsidR="00575B99" w:rsidRPr="000531F6" w:rsidRDefault="003626A3" w:rsidP="00575B99">
            <w:pPr>
              <w:spacing w:after="0" w:line="240" w:lineRule="auto"/>
              <w:jc w:val="center"/>
              <w:rPr>
                <w:rFonts w:ascii="Arial" w:eastAsia="Times New Roman" w:hAnsi="Arial" w:cs="Arial"/>
                <w:color w:val="000000"/>
                <w:sz w:val="24"/>
                <w:szCs w:val="24"/>
                <w:lang w:eastAsia="pl-PL"/>
              </w:rPr>
            </w:pPr>
            <w:r w:rsidRPr="000531F6">
              <w:rPr>
                <w:rFonts w:ascii="Arial" w:eastAsia="Times New Roman" w:hAnsi="Arial" w:cs="Arial"/>
                <w:color w:val="000000"/>
                <w:sz w:val="24"/>
                <w:szCs w:val="24"/>
                <w:lang w:eastAsia="pl-PL"/>
              </w:rPr>
              <w:t>Lampa bakteriobójcza bezpośredniego działania na jeżdżącym statywie, emitująca promieniowanie ultrafioletowe UV-C, źródło światła TUV 15/30W, o długości fali, która zabija wirusy i bakterie na powierzchniach, żywotność min. 8000h, źródło światła w poziomie z możliwością zmiany kąta nachylenia, zastosowanie do zamkniętych pomieszczeń, napięcie 230V, certyfikat CE, instrukcja w języku polskim</w:t>
            </w:r>
            <w:r w:rsidR="0052585F" w:rsidRPr="000531F6">
              <w:rPr>
                <w:rFonts w:ascii="Arial" w:eastAsia="Times New Roman" w:hAnsi="Arial" w:cs="Arial"/>
                <w:color w:val="000000"/>
                <w:sz w:val="24"/>
                <w:szCs w:val="24"/>
                <w:lang w:eastAsia="pl-PL"/>
              </w:rPr>
              <w:t>, gwarancja 24 miesiące</w:t>
            </w:r>
          </w:p>
        </w:tc>
      </w:tr>
      <w:tr w:rsidR="00575B99" w:rsidRPr="000531F6" w14:paraId="564E6C53" w14:textId="77777777" w:rsidTr="00C1412F">
        <w:tc>
          <w:tcPr>
            <w:tcW w:w="728" w:type="dxa"/>
            <w:tcBorders>
              <w:top w:val="nil"/>
              <w:left w:val="single" w:sz="4" w:space="0" w:color="auto"/>
              <w:bottom w:val="single" w:sz="4" w:space="0" w:color="auto"/>
              <w:right w:val="single" w:sz="4" w:space="0" w:color="auto"/>
            </w:tcBorders>
            <w:shd w:val="clear" w:color="auto" w:fill="auto"/>
            <w:vAlign w:val="center"/>
            <w:hideMark/>
          </w:tcPr>
          <w:p w14:paraId="0CCF9096" w14:textId="77777777" w:rsidR="00575B99" w:rsidRPr="000531F6" w:rsidRDefault="00C1412F" w:rsidP="00F04586">
            <w:pPr>
              <w:spacing w:after="0" w:line="240" w:lineRule="auto"/>
              <w:jc w:val="right"/>
              <w:rPr>
                <w:rFonts w:ascii="Arial" w:eastAsia="Times New Roman" w:hAnsi="Arial" w:cs="Arial"/>
                <w:color w:val="000000"/>
                <w:sz w:val="24"/>
                <w:szCs w:val="24"/>
                <w:lang w:eastAsia="pl-PL"/>
              </w:rPr>
            </w:pPr>
            <w:r w:rsidRPr="000531F6">
              <w:rPr>
                <w:rFonts w:ascii="Arial" w:eastAsia="Times New Roman" w:hAnsi="Arial" w:cs="Arial"/>
                <w:color w:val="000000"/>
                <w:sz w:val="24"/>
                <w:szCs w:val="24"/>
                <w:lang w:eastAsia="pl-PL"/>
              </w:rPr>
              <w:t>2</w:t>
            </w:r>
          </w:p>
        </w:tc>
        <w:tc>
          <w:tcPr>
            <w:tcW w:w="2386" w:type="dxa"/>
            <w:tcBorders>
              <w:top w:val="nil"/>
              <w:left w:val="nil"/>
              <w:bottom w:val="single" w:sz="4" w:space="0" w:color="auto"/>
              <w:right w:val="single" w:sz="4" w:space="0" w:color="auto"/>
            </w:tcBorders>
            <w:shd w:val="clear" w:color="auto" w:fill="auto"/>
            <w:vAlign w:val="center"/>
            <w:hideMark/>
          </w:tcPr>
          <w:p w14:paraId="11EA7A60" w14:textId="6CF9A5E1" w:rsidR="00575B99" w:rsidRPr="000531F6" w:rsidRDefault="003626A3" w:rsidP="00C1412F">
            <w:pPr>
              <w:spacing w:after="0" w:line="240" w:lineRule="auto"/>
              <w:jc w:val="center"/>
              <w:rPr>
                <w:rFonts w:ascii="Arial" w:eastAsia="Times New Roman" w:hAnsi="Arial" w:cs="Arial"/>
                <w:color w:val="000000"/>
                <w:sz w:val="24"/>
                <w:szCs w:val="24"/>
                <w:lang w:eastAsia="pl-PL"/>
              </w:rPr>
            </w:pPr>
            <w:r w:rsidRPr="000531F6">
              <w:rPr>
                <w:rFonts w:ascii="Arial" w:eastAsia="Times New Roman" w:hAnsi="Arial" w:cs="Arial"/>
                <w:color w:val="000000"/>
                <w:sz w:val="24"/>
                <w:szCs w:val="24"/>
                <w:lang w:eastAsia="pl-PL"/>
              </w:rPr>
              <w:t>Pulsoksymetr</w:t>
            </w:r>
          </w:p>
        </w:tc>
        <w:tc>
          <w:tcPr>
            <w:tcW w:w="1276" w:type="dxa"/>
            <w:tcBorders>
              <w:top w:val="nil"/>
              <w:left w:val="nil"/>
              <w:bottom w:val="single" w:sz="4" w:space="0" w:color="auto"/>
              <w:right w:val="single" w:sz="4" w:space="0" w:color="auto"/>
            </w:tcBorders>
            <w:shd w:val="clear" w:color="auto" w:fill="auto"/>
            <w:vAlign w:val="bottom"/>
            <w:hideMark/>
          </w:tcPr>
          <w:p w14:paraId="6B656AF9" w14:textId="530E1D79" w:rsidR="00575B99" w:rsidRPr="000531F6" w:rsidRDefault="001E41EF" w:rsidP="00575B99">
            <w:pPr>
              <w:spacing w:after="0" w:line="240" w:lineRule="auto"/>
              <w:jc w:val="right"/>
              <w:rPr>
                <w:rFonts w:ascii="Arial" w:eastAsia="Times New Roman" w:hAnsi="Arial" w:cs="Arial"/>
                <w:color w:val="000000"/>
                <w:sz w:val="24"/>
                <w:szCs w:val="24"/>
                <w:lang w:eastAsia="pl-PL"/>
              </w:rPr>
            </w:pPr>
            <w:r w:rsidRPr="000531F6">
              <w:rPr>
                <w:rFonts w:ascii="Arial" w:eastAsia="Times New Roman" w:hAnsi="Arial" w:cs="Arial"/>
                <w:color w:val="000000"/>
                <w:sz w:val="24"/>
                <w:szCs w:val="24"/>
                <w:lang w:eastAsia="pl-PL"/>
              </w:rPr>
              <w:t>6</w:t>
            </w:r>
          </w:p>
          <w:p w14:paraId="2CC5B1D8" w14:textId="77777777" w:rsidR="002B3593" w:rsidRPr="000531F6" w:rsidRDefault="002B3593" w:rsidP="00575B99">
            <w:pPr>
              <w:spacing w:after="0" w:line="240" w:lineRule="auto"/>
              <w:jc w:val="right"/>
              <w:rPr>
                <w:rFonts w:ascii="Arial" w:eastAsia="Times New Roman" w:hAnsi="Arial" w:cs="Arial"/>
                <w:color w:val="000000"/>
                <w:sz w:val="24"/>
                <w:szCs w:val="24"/>
                <w:lang w:eastAsia="pl-PL"/>
              </w:rPr>
            </w:pPr>
          </w:p>
        </w:tc>
        <w:tc>
          <w:tcPr>
            <w:tcW w:w="9822" w:type="dxa"/>
            <w:tcBorders>
              <w:top w:val="nil"/>
              <w:left w:val="nil"/>
              <w:bottom w:val="single" w:sz="4" w:space="0" w:color="auto"/>
              <w:right w:val="single" w:sz="4" w:space="0" w:color="auto"/>
            </w:tcBorders>
            <w:shd w:val="clear" w:color="auto" w:fill="auto"/>
            <w:vAlign w:val="bottom"/>
            <w:hideMark/>
          </w:tcPr>
          <w:p w14:paraId="374467C9" w14:textId="5FA1938B" w:rsidR="00575B99" w:rsidRPr="000531F6" w:rsidRDefault="003626A3" w:rsidP="00C1412F">
            <w:pPr>
              <w:spacing w:after="0" w:line="240" w:lineRule="auto"/>
              <w:rPr>
                <w:rFonts w:ascii="Arial" w:eastAsia="Times New Roman" w:hAnsi="Arial" w:cs="Arial"/>
                <w:color w:val="000000"/>
                <w:sz w:val="24"/>
                <w:szCs w:val="24"/>
                <w:lang w:eastAsia="pl-PL"/>
              </w:rPr>
            </w:pPr>
            <w:r w:rsidRPr="000531F6">
              <w:rPr>
                <w:rFonts w:ascii="Arial" w:eastAsia="Times New Roman" w:hAnsi="Arial" w:cs="Arial"/>
                <w:color w:val="000000"/>
                <w:sz w:val="24"/>
                <w:szCs w:val="24"/>
                <w:lang w:eastAsia="pl-PL"/>
              </w:rPr>
              <w:t>napalcowe urządzenie przeznaczone do pomiaru hemoglobiny tętniczej (z SpO2) oraz ilości uderzeń serca na minutę (tętno), zarówno u dorosłych jak i u dzieci, pomiar odbywa się poprzez umieszczenie palca pod czujnikiem podczerwieni, funkcja automatycznego wyłączenia, duży, czytelny, kolorowy wyświetlacz LCD, do zastosowań profesjonalnych w szpitalach, jak również dla użytkowników indywidualnych, zakres pomiaru saturacji: 0 - 100%, zakres pomiaru pulsu: 30 - 250 BPM, , zasilanie: baterie alkaliczne 1,5 V, waga: 50 g,  gwarancja 24 miesiące, Prezentacja fali pletyzmograficznej,  Wymiary: około 57 x 31 x 32 mm</w:t>
            </w:r>
            <w:r w:rsidR="00D03152">
              <w:rPr>
                <w:rFonts w:ascii="Arial" w:eastAsia="Times New Roman" w:hAnsi="Arial" w:cs="Arial"/>
                <w:color w:val="000000"/>
                <w:sz w:val="24"/>
                <w:szCs w:val="24"/>
                <w:lang w:eastAsia="pl-PL"/>
              </w:rPr>
              <w:t xml:space="preserve"> +/- 5mm</w:t>
            </w:r>
            <w:r w:rsidRPr="000531F6">
              <w:rPr>
                <w:rFonts w:ascii="Arial" w:eastAsia="Times New Roman" w:hAnsi="Arial" w:cs="Arial"/>
                <w:color w:val="000000"/>
                <w:sz w:val="24"/>
                <w:szCs w:val="24"/>
                <w:lang w:eastAsia="pl-PL"/>
              </w:rPr>
              <w:t>, deklaracja zgodności oraz certyfikat CE, instrukcja w języku polskim,</w:t>
            </w:r>
            <w:r w:rsidR="0052585F" w:rsidRPr="000531F6">
              <w:rPr>
                <w:rFonts w:ascii="Arial" w:eastAsia="Times New Roman" w:hAnsi="Arial" w:cs="Arial"/>
                <w:color w:val="000000"/>
                <w:sz w:val="24"/>
                <w:szCs w:val="24"/>
                <w:lang w:eastAsia="pl-PL"/>
              </w:rPr>
              <w:t xml:space="preserve"> gwarancja 24 miesiące</w:t>
            </w:r>
          </w:p>
        </w:tc>
      </w:tr>
      <w:tr w:rsidR="00575B99" w:rsidRPr="000531F6" w14:paraId="3E58C413" w14:textId="77777777" w:rsidTr="00570BF0">
        <w:tc>
          <w:tcPr>
            <w:tcW w:w="728" w:type="dxa"/>
            <w:tcBorders>
              <w:top w:val="nil"/>
              <w:left w:val="single" w:sz="4" w:space="0" w:color="auto"/>
              <w:bottom w:val="single" w:sz="4" w:space="0" w:color="auto"/>
              <w:right w:val="single" w:sz="4" w:space="0" w:color="auto"/>
            </w:tcBorders>
            <w:shd w:val="clear" w:color="auto" w:fill="auto"/>
            <w:vAlign w:val="center"/>
            <w:hideMark/>
          </w:tcPr>
          <w:p w14:paraId="199E91FC" w14:textId="77777777" w:rsidR="00575B99" w:rsidRPr="000531F6" w:rsidRDefault="00C1412F" w:rsidP="00F04586">
            <w:pPr>
              <w:spacing w:after="0" w:line="240" w:lineRule="auto"/>
              <w:jc w:val="right"/>
              <w:rPr>
                <w:rFonts w:ascii="Arial" w:eastAsia="Times New Roman" w:hAnsi="Arial" w:cs="Arial"/>
                <w:color w:val="000000"/>
                <w:sz w:val="24"/>
                <w:szCs w:val="24"/>
                <w:lang w:eastAsia="pl-PL"/>
              </w:rPr>
            </w:pPr>
            <w:r w:rsidRPr="000531F6">
              <w:rPr>
                <w:rFonts w:ascii="Arial" w:eastAsia="Times New Roman" w:hAnsi="Arial" w:cs="Arial"/>
                <w:color w:val="000000"/>
                <w:sz w:val="24"/>
                <w:szCs w:val="24"/>
                <w:lang w:eastAsia="pl-PL"/>
              </w:rPr>
              <w:t>3</w:t>
            </w:r>
          </w:p>
        </w:tc>
        <w:tc>
          <w:tcPr>
            <w:tcW w:w="2386" w:type="dxa"/>
            <w:tcBorders>
              <w:top w:val="nil"/>
              <w:left w:val="nil"/>
              <w:bottom w:val="single" w:sz="4" w:space="0" w:color="auto"/>
              <w:right w:val="single" w:sz="4" w:space="0" w:color="auto"/>
            </w:tcBorders>
            <w:shd w:val="clear" w:color="auto" w:fill="auto"/>
            <w:vAlign w:val="center"/>
            <w:hideMark/>
          </w:tcPr>
          <w:p w14:paraId="73531E40" w14:textId="41B55F6D" w:rsidR="00575B99" w:rsidRPr="000531F6" w:rsidRDefault="00570BF0" w:rsidP="00C1412F">
            <w:pPr>
              <w:spacing w:after="0" w:line="240" w:lineRule="auto"/>
              <w:jc w:val="center"/>
              <w:rPr>
                <w:rFonts w:ascii="Arial" w:eastAsia="Times New Roman" w:hAnsi="Arial" w:cs="Arial"/>
                <w:color w:val="000000"/>
                <w:sz w:val="24"/>
                <w:szCs w:val="24"/>
                <w:lang w:eastAsia="pl-PL"/>
              </w:rPr>
            </w:pPr>
            <w:r w:rsidRPr="000531F6">
              <w:rPr>
                <w:rFonts w:ascii="Arial" w:eastAsia="Times New Roman" w:hAnsi="Arial" w:cs="Arial"/>
                <w:color w:val="000000"/>
                <w:sz w:val="24"/>
                <w:szCs w:val="24"/>
                <w:lang w:eastAsia="pl-PL"/>
              </w:rPr>
              <w:t>Sterylizator</w:t>
            </w:r>
          </w:p>
        </w:tc>
        <w:tc>
          <w:tcPr>
            <w:tcW w:w="1276" w:type="dxa"/>
            <w:tcBorders>
              <w:top w:val="nil"/>
              <w:left w:val="nil"/>
              <w:bottom w:val="single" w:sz="4" w:space="0" w:color="auto"/>
              <w:right w:val="single" w:sz="4" w:space="0" w:color="auto"/>
            </w:tcBorders>
            <w:shd w:val="clear" w:color="auto" w:fill="auto"/>
            <w:vAlign w:val="bottom"/>
            <w:hideMark/>
          </w:tcPr>
          <w:p w14:paraId="56BC75CF" w14:textId="268D4345" w:rsidR="00575B99" w:rsidRPr="000531F6" w:rsidRDefault="00570BF0" w:rsidP="00575B99">
            <w:pPr>
              <w:spacing w:after="0" w:line="240" w:lineRule="auto"/>
              <w:jc w:val="right"/>
              <w:rPr>
                <w:rFonts w:ascii="Arial" w:eastAsia="Times New Roman" w:hAnsi="Arial" w:cs="Arial"/>
                <w:color w:val="000000"/>
                <w:sz w:val="24"/>
                <w:szCs w:val="24"/>
                <w:lang w:eastAsia="pl-PL"/>
              </w:rPr>
            </w:pPr>
            <w:r w:rsidRPr="000531F6">
              <w:rPr>
                <w:rFonts w:ascii="Arial" w:eastAsia="Times New Roman" w:hAnsi="Arial" w:cs="Arial"/>
                <w:color w:val="000000"/>
                <w:sz w:val="24"/>
                <w:szCs w:val="24"/>
                <w:lang w:eastAsia="pl-PL"/>
              </w:rPr>
              <w:t>1</w:t>
            </w:r>
          </w:p>
        </w:tc>
        <w:tc>
          <w:tcPr>
            <w:tcW w:w="9822" w:type="dxa"/>
            <w:tcBorders>
              <w:top w:val="nil"/>
              <w:left w:val="nil"/>
              <w:bottom w:val="single" w:sz="4" w:space="0" w:color="auto"/>
              <w:right w:val="single" w:sz="4" w:space="0" w:color="auto"/>
            </w:tcBorders>
            <w:shd w:val="clear" w:color="auto" w:fill="auto"/>
            <w:vAlign w:val="bottom"/>
            <w:hideMark/>
          </w:tcPr>
          <w:p w14:paraId="05F25FFB" w14:textId="6977EF54" w:rsidR="009450B1" w:rsidRPr="000531F6" w:rsidRDefault="00570BF0" w:rsidP="0022193B">
            <w:pPr>
              <w:pStyle w:val="Textbody"/>
              <w:spacing w:after="0"/>
              <w:rPr>
                <w:rFonts w:ascii="Arial" w:hAnsi="Arial"/>
              </w:rPr>
            </w:pPr>
            <w:r w:rsidRPr="000531F6">
              <w:rPr>
                <w:rFonts w:ascii="Arial" w:eastAsiaTheme="minorHAnsi" w:hAnsi="Arial"/>
                <w:kern w:val="0"/>
                <w:lang w:eastAsia="en-US" w:bidi="ar-SA"/>
              </w:rPr>
              <w:t>Urządzenie służące do dezynfekcji i sterylizacji małych przedmiotów;  promieniami UV,</w:t>
            </w:r>
            <w:r w:rsidR="0022193B" w:rsidRPr="000531F6">
              <w:rPr>
                <w:rFonts w:ascii="Arial" w:eastAsiaTheme="minorHAnsi" w:hAnsi="Arial"/>
                <w:kern w:val="0"/>
                <w:lang w:eastAsia="en-US" w:bidi="ar-SA"/>
              </w:rPr>
              <w:t xml:space="preserve"> </w:t>
            </w:r>
            <w:r w:rsidRPr="000531F6">
              <w:rPr>
                <w:rFonts w:ascii="Arial" w:eastAsiaTheme="minorHAnsi" w:hAnsi="Arial"/>
                <w:kern w:val="0"/>
                <w:lang w:eastAsia="en-US" w:bidi="ar-SA"/>
              </w:rPr>
              <w:t>temperatura podgrzania do 80 stopni Ce</w:t>
            </w:r>
            <w:r w:rsidR="0022193B" w:rsidRPr="000531F6">
              <w:rPr>
                <w:rFonts w:ascii="Arial" w:eastAsiaTheme="minorHAnsi" w:hAnsi="Arial"/>
                <w:kern w:val="0"/>
                <w:lang w:eastAsia="en-US" w:bidi="ar-SA"/>
              </w:rPr>
              <w:t>lsjusza , pojemność min 10 litró</w:t>
            </w:r>
            <w:r w:rsidRPr="000531F6">
              <w:rPr>
                <w:rFonts w:ascii="Arial" w:eastAsiaTheme="minorHAnsi" w:hAnsi="Arial"/>
                <w:kern w:val="0"/>
                <w:lang w:eastAsia="en-US" w:bidi="ar-SA"/>
              </w:rPr>
              <w:t>w, moc minimalna 150W, instrukcja w języku polskim, z</w:t>
            </w:r>
            <w:r w:rsidR="0022193B" w:rsidRPr="000531F6">
              <w:rPr>
                <w:rFonts w:ascii="Arial" w:eastAsiaTheme="minorHAnsi" w:hAnsi="Arial"/>
                <w:kern w:val="0"/>
                <w:lang w:eastAsia="en-US" w:bidi="ar-SA"/>
              </w:rPr>
              <w:t>a</w:t>
            </w:r>
            <w:r w:rsidRPr="000531F6">
              <w:rPr>
                <w:rFonts w:ascii="Arial" w:eastAsiaTheme="minorHAnsi" w:hAnsi="Arial"/>
                <w:kern w:val="0"/>
                <w:lang w:eastAsia="en-US" w:bidi="ar-SA"/>
              </w:rPr>
              <w:t xml:space="preserve">silanie 220V, pojemność min 10litrów, </w:t>
            </w:r>
            <w:r w:rsidR="0052585F" w:rsidRPr="000531F6">
              <w:rPr>
                <w:rFonts w:ascii="Arial" w:eastAsiaTheme="minorHAnsi" w:hAnsi="Arial"/>
                <w:kern w:val="0"/>
                <w:lang w:eastAsia="en-US" w:bidi="ar-SA"/>
              </w:rPr>
              <w:t xml:space="preserve"> gwarancja 24 miesiące</w:t>
            </w:r>
          </w:p>
        </w:tc>
      </w:tr>
      <w:tr w:rsidR="00570BF0" w:rsidRPr="000531F6" w14:paraId="30D31B02" w14:textId="77777777" w:rsidTr="00570BF0">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0598F32F" w14:textId="527BCB6B" w:rsidR="00570BF0" w:rsidRPr="000531F6" w:rsidRDefault="00570BF0" w:rsidP="00570BF0">
            <w:pPr>
              <w:spacing w:after="0" w:line="240" w:lineRule="auto"/>
              <w:jc w:val="center"/>
              <w:rPr>
                <w:rFonts w:ascii="Arial" w:eastAsia="Times New Roman" w:hAnsi="Arial" w:cs="Arial"/>
                <w:color w:val="000000"/>
                <w:sz w:val="24"/>
                <w:szCs w:val="24"/>
                <w:lang w:eastAsia="pl-PL"/>
              </w:rPr>
            </w:pPr>
            <w:r w:rsidRPr="000531F6">
              <w:rPr>
                <w:rFonts w:ascii="Arial" w:eastAsia="Times New Roman" w:hAnsi="Arial" w:cs="Arial"/>
                <w:color w:val="000000"/>
                <w:sz w:val="24"/>
                <w:szCs w:val="24"/>
                <w:lang w:eastAsia="pl-PL"/>
              </w:rPr>
              <w:t>4</w:t>
            </w:r>
          </w:p>
        </w:tc>
        <w:tc>
          <w:tcPr>
            <w:tcW w:w="2386" w:type="dxa"/>
            <w:tcBorders>
              <w:top w:val="single" w:sz="4" w:space="0" w:color="auto"/>
              <w:left w:val="nil"/>
              <w:bottom w:val="single" w:sz="4" w:space="0" w:color="auto"/>
              <w:right w:val="single" w:sz="4" w:space="0" w:color="auto"/>
            </w:tcBorders>
            <w:shd w:val="clear" w:color="auto" w:fill="auto"/>
            <w:vAlign w:val="center"/>
          </w:tcPr>
          <w:p w14:paraId="57B60FBD" w14:textId="2AE87813" w:rsidR="00570BF0" w:rsidRPr="000531F6" w:rsidRDefault="00570BF0" w:rsidP="00C1412F">
            <w:pPr>
              <w:spacing w:after="0" w:line="240" w:lineRule="auto"/>
              <w:jc w:val="center"/>
              <w:rPr>
                <w:rFonts w:ascii="Arial" w:eastAsia="Times New Roman" w:hAnsi="Arial" w:cs="Arial"/>
                <w:color w:val="000000"/>
                <w:sz w:val="24"/>
                <w:szCs w:val="24"/>
                <w:lang w:eastAsia="pl-PL"/>
              </w:rPr>
            </w:pPr>
            <w:r w:rsidRPr="000531F6">
              <w:rPr>
                <w:rFonts w:ascii="Arial" w:eastAsia="Times New Roman" w:hAnsi="Arial" w:cs="Arial"/>
                <w:color w:val="000000"/>
                <w:sz w:val="24"/>
                <w:szCs w:val="24"/>
                <w:lang w:eastAsia="pl-PL"/>
              </w:rPr>
              <w:t>Defibrylator</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86B24D" w14:textId="33533025" w:rsidR="00570BF0" w:rsidRPr="000531F6" w:rsidRDefault="00570BF0" w:rsidP="00575B99">
            <w:pPr>
              <w:spacing w:after="0" w:line="240" w:lineRule="auto"/>
              <w:jc w:val="right"/>
              <w:rPr>
                <w:rFonts w:ascii="Arial" w:eastAsia="Times New Roman" w:hAnsi="Arial" w:cs="Arial"/>
                <w:color w:val="000000"/>
                <w:sz w:val="24"/>
                <w:szCs w:val="24"/>
                <w:lang w:eastAsia="pl-PL"/>
              </w:rPr>
            </w:pPr>
            <w:r w:rsidRPr="000531F6">
              <w:rPr>
                <w:rFonts w:ascii="Arial" w:eastAsia="Times New Roman" w:hAnsi="Arial" w:cs="Arial"/>
                <w:color w:val="000000"/>
                <w:sz w:val="24"/>
                <w:szCs w:val="24"/>
                <w:lang w:eastAsia="pl-PL"/>
              </w:rPr>
              <w:t>1</w:t>
            </w:r>
          </w:p>
        </w:tc>
        <w:tc>
          <w:tcPr>
            <w:tcW w:w="9822" w:type="dxa"/>
            <w:tcBorders>
              <w:top w:val="single" w:sz="4" w:space="0" w:color="auto"/>
              <w:left w:val="nil"/>
              <w:bottom w:val="single" w:sz="4" w:space="0" w:color="auto"/>
              <w:right w:val="single" w:sz="4" w:space="0" w:color="auto"/>
            </w:tcBorders>
            <w:shd w:val="clear" w:color="auto" w:fill="auto"/>
            <w:vAlign w:val="bottom"/>
          </w:tcPr>
          <w:p w14:paraId="107342B7" w14:textId="68058FAA" w:rsidR="00570BF0" w:rsidRPr="000531F6" w:rsidRDefault="00570BF0" w:rsidP="00E90701">
            <w:pPr>
              <w:pStyle w:val="Textbody"/>
              <w:spacing w:after="0"/>
              <w:rPr>
                <w:rFonts w:ascii="Arial" w:eastAsiaTheme="minorHAnsi" w:hAnsi="Arial"/>
                <w:kern w:val="0"/>
                <w:lang w:eastAsia="en-US" w:bidi="ar-SA"/>
              </w:rPr>
            </w:pPr>
            <w:r w:rsidRPr="000531F6">
              <w:rPr>
                <w:rFonts w:ascii="Arial" w:eastAsiaTheme="minorHAnsi" w:hAnsi="Arial"/>
                <w:kern w:val="0"/>
                <w:lang w:eastAsia="en-US" w:bidi="ar-SA"/>
              </w:rPr>
              <w:t xml:space="preserve">defibrylator -  automatyczny defibrylator. Może być używany przy ratowaniu dorosłych i </w:t>
            </w:r>
            <w:r w:rsidRPr="000531F6">
              <w:rPr>
                <w:rFonts w:ascii="Arial" w:eastAsiaTheme="minorHAnsi" w:hAnsi="Arial"/>
                <w:kern w:val="0"/>
                <w:lang w:eastAsia="en-US" w:bidi="ar-SA"/>
              </w:rPr>
              <w:lastRenderedPageBreak/>
              <w:t>dzieci. Rodzaj impulsu dwufazowy odcięty, energia impulsu zgodna z wytycznymi AHA 2010, sekwencja wyładowań dla dorosłego 150J-150J-200J, sekwencja wyładowań dla dziecka 50J-50J-50J. Czas analizy EKG max  10 s. Czas ładowania do 150J max 10s. wymiary: max 10x30x25 cm. kompensacja impedancji ciała pacjenta w zakresie  min 25-100 ohm. Waga (wraz z bateria)  Max 2 kg. detekcja ruchu pacjenta. Detekcja kardiostymulatorów. Komunikaty głosowe w języku polskim. Zapis danych i głosu na kartach SD-  min 50 pacjentów. Transfer danych z defibrylat</w:t>
            </w:r>
            <w:r w:rsidR="0022193B" w:rsidRPr="000531F6">
              <w:rPr>
                <w:rFonts w:ascii="Arial" w:eastAsiaTheme="minorHAnsi" w:hAnsi="Arial"/>
                <w:kern w:val="0"/>
                <w:lang w:eastAsia="en-US" w:bidi="ar-SA"/>
              </w:rPr>
              <w:t>ora do PC poprzez kabel USB. Moż</w:t>
            </w:r>
            <w:r w:rsidRPr="000531F6">
              <w:rPr>
                <w:rFonts w:ascii="Arial" w:eastAsiaTheme="minorHAnsi" w:hAnsi="Arial"/>
                <w:kern w:val="0"/>
                <w:lang w:eastAsia="en-US" w:bidi="ar-SA"/>
              </w:rPr>
              <w:t>liwość wyposażenia w oprog</w:t>
            </w:r>
            <w:r w:rsidR="0022193B" w:rsidRPr="000531F6">
              <w:rPr>
                <w:rFonts w:ascii="Arial" w:eastAsiaTheme="minorHAnsi" w:hAnsi="Arial"/>
                <w:kern w:val="0"/>
                <w:lang w:eastAsia="en-US" w:bidi="ar-SA"/>
              </w:rPr>
              <w:t>ramowanie PC do archiwizacji dan</w:t>
            </w:r>
            <w:r w:rsidRPr="000531F6">
              <w:rPr>
                <w:rFonts w:ascii="Arial" w:eastAsiaTheme="minorHAnsi" w:hAnsi="Arial"/>
                <w:kern w:val="0"/>
                <w:lang w:eastAsia="en-US" w:bidi="ar-SA"/>
              </w:rPr>
              <w:t>ych z przeprowadzonych defibrylacji. Zasilanie za pomocą bat</w:t>
            </w:r>
            <w:r w:rsidR="0022193B" w:rsidRPr="000531F6">
              <w:rPr>
                <w:rFonts w:ascii="Arial" w:eastAsiaTheme="minorHAnsi" w:hAnsi="Arial"/>
                <w:kern w:val="0"/>
                <w:lang w:eastAsia="en-US" w:bidi="ar-SA"/>
              </w:rPr>
              <w:t>erii LiMnO2 o pojemności 3Ah o ż</w:t>
            </w:r>
            <w:r w:rsidRPr="000531F6">
              <w:rPr>
                <w:rFonts w:ascii="Arial" w:eastAsiaTheme="minorHAnsi" w:hAnsi="Arial"/>
                <w:kern w:val="0"/>
                <w:lang w:eastAsia="en-US" w:bidi="ar-SA"/>
              </w:rPr>
              <w:t>ywotności 5 lata. Ilość wyładowań min 200. Plan auto-testów: co tydzień, co miesiąc oraz przy każdym starcie. Zakres kontroli automatycznej: akumulator, wewnętrzna elektron</w:t>
            </w:r>
            <w:r w:rsidR="0022193B" w:rsidRPr="000531F6">
              <w:rPr>
                <w:rFonts w:ascii="Arial" w:eastAsiaTheme="minorHAnsi" w:hAnsi="Arial"/>
                <w:kern w:val="0"/>
                <w:lang w:eastAsia="en-US" w:bidi="ar-SA"/>
              </w:rPr>
              <w:t>ika, oprogramowanie. Warunki pra</w:t>
            </w:r>
            <w:r w:rsidRPr="000531F6">
              <w:rPr>
                <w:rFonts w:ascii="Arial" w:eastAsiaTheme="minorHAnsi" w:hAnsi="Arial"/>
                <w:kern w:val="0"/>
                <w:lang w:eastAsia="en-US" w:bidi="ar-SA"/>
              </w:rPr>
              <w:t>cy w zakresie 0-50 stopni celcjusza. Sztywne opakowanie do przenoszenia i przechowywania defibrylatora.</w:t>
            </w:r>
            <w:r w:rsidR="0052585F" w:rsidRPr="000531F6">
              <w:rPr>
                <w:rFonts w:ascii="Arial" w:eastAsiaTheme="minorHAnsi" w:hAnsi="Arial"/>
                <w:kern w:val="0"/>
                <w:lang w:eastAsia="en-US" w:bidi="ar-SA"/>
              </w:rPr>
              <w:t xml:space="preserve"> Instrukcja w języku polskim. Gwarancja 24 miesiące.</w:t>
            </w:r>
          </w:p>
        </w:tc>
      </w:tr>
      <w:tr w:rsidR="00570BF0" w:rsidRPr="000531F6" w14:paraId="2A0C4C7B" w14:textId="77777777" w:rsidTr="00570BF0">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2B220A4C" w14:textId="7BA569D0" w:rsidR="00570BF0" w:rsidRPr="000531F6" w:rsidRDefault="006110D2" w:rsidP="00570BF0">
            <w:pPr>
              <w:spacing w:after="0" w:line="240" w:lineRule="auto"/>
              <w:jc w:val="center"/>
              <w:rPr>
                <w:rFonts w:ascii="Arial" w:eastAsia="Times New Roman" w:hAnsi="Arial" w:cs="Arial"/>
                <w:color w:val="000000"/>
                <w:sz w:val="24"/>
                <w:szCs w:val="24"/>
                <w:lang w:eastAsia="pl-PL"/>
              </w:rPr>
            </w:pPr>
            <w:r w:rsidRPr="000531F6">
              <w:rPr>
                <w:rFonts w:ascii="Arial" w:eastAsia="Times New Roman" w:hAnsi="Arial" w:cs="Arial"/>
                <w:color w:val="000000"/>
                <w:sz w:val="24"/>
                <w:szCs w:val="24"/>
                <w:lang w:eastAsia="pl-PL"/>
              </w:rPr>
              <w:lastRenderedPageBreak/>
              <w:t>5</w:t>
            </w:r>
          </w:p>
        </w:tc>
        <w:tc>
          <w:tcPr>
            <w:tcW w:w="2386" w:type="dxa"/>
            <w:tcBorders>
              <w:top w:val="single" w:sz="4" w:space="0" w:color="auto"/>
              <w:left w:val="nil"/>
              <w:bottom w:val="single" w:sz="4" w:space="0" w:color="auto"/>
              <w:right w:val="single" w:sz="4" w:space="0" w:color="auto"/>
            </w:tcBorders>
            <w:shd w:val="clear" w:color="auto" w:fill="auto"/>
            <w:vAlign w:val="center"/>
          </w:tcPr>
          <w:p w14:paraId="53F1CC0B" w14:textId="22E9BA86" w:rsidR="00570BF0" w:rsidRPr="000531F6" w:rsidRDefault="006110D2" w:rsidP="00C1412F">
            <w:pPr>
              <w:spacing w:after="0" w:line="240" w:lineRule="auto"/>
              <w:jc w:val="center"/>
              <w:rPr>
                <w:rFonts w:ascii="Arial" w:eastAsia="Times New Roman" w:hAnsi="Arial" w:cs="Arial"/>
                <w:color w:val="000000"/>
                <w:sz w:val="24"/>
                <w:szCs w:val="24"/>
                <w:lang w:eastAsia="pl-PL"/>
              </w:rPr>
            </w:pPr>
            <w:r w:rsidRPr="000531F6">
              <w:rPr>
                <w:rFonts w:ascii="Arial" w:eastAsia="Times New Roman" w:hAnsi="Arial" w:cs="Arial"/>
                <w:color w:val="000000"/>
                <w:sz w:val="24"/>
                <w:szCs w:val="24"/>
                <w:lang w:eastAsia="pl-PL"/>
              </w:rPr>
              <w:t>Ssak mobilny</w:t>
            </w:r>
          </w:p>
        </w:tc>
        <w:tc>
          <w:tcPr>
            <w:tcW w:w="1276" w:type="dxa"/>
            <w:tcBorders>
              <w:top w:val="single" w:sz="4" w:space="0" w:color="auto"/>
              <w:left w:val="nil"/>
              <w:bottom w:val="single" w:sz="4" w:space="0" w:color="auto"/>
              <w:right w:val="single" w:sz="4" w:space="0" w:color="auto"/>
            </w:tcBorders>
            <w:shd w:val="clear" w:color="auto" w:fill="auto"/>
            <w:vAlign w:val="bottom"/>
          </w:tcPr>
          <w:p w14:paraId="7E2D91F1" w14:textId="57605361" w:rsidR="00570BF0" w:rsidRPr="000531F6" w:rsidRDefault="00504805" w:rsidP="00575B99">
            <w:pPr>
              <w:spacing w:after="0" w:line="240" w:lineRule="auto"/>
              <w:jc w:val="right"/>
              <w:rPr>
                <w:rFonts w:ascii="Arial" w:eastAsia="Times New Roman" w:hAnsi="Arial" w:cs="Arial"/>
                <w:color w:val="000000"/>
                <w:sz w:val="24"/>
                <w:szCs w:val="24"/>
                <w:lang w:eastAsia="pl-PL"/>
              </w:rPr>
            </w:pPr>
            <w:r w:rsidRPr="000531F6">
              <w:rPr>
                <w:rFonts w:ascii="Arial" w:eastAsia="Times New Roman" w:hAnsi="Arial" w:cs="Arial"/>
                <w:color w:val="000000"/>
                <w:sz w:val="24"/>
                <w:szCs w:val="24"/>
                <w:lang w:eastAsia="pl-PL"/>
              </w:rPr>
              <w:t>1</w:t>
            </w:r>
          </w:p>
        </w:tc>
        <w:tc>
          <w:tcPr>
            <w:tcW w:w="9822" w:type="dxa"/>
            <w:tcBorders>
              <w:top w:val="single" w:sz="4" w:space="0" w:color="auto"/>
              <w:left w:val="nil"/>
              <w:bottom w:val="single" w:sz="4" w:space="0" w:color="auto"/>
              <w:right w:val="single" w:sz="4" w:space="0" w:color="auto"/>
            </w:tcBorders>
            <w:shd w:val="clear" w:color="auto" w:fill="auto"/>
            <w:vAlign w:val="bottom"/>
          </w:tcPr>
          <w:p w14:paraId="3544C37C" w14:textId="04B25D37" w:rsidR="00570BF0" w:rsidRPr="000531F6" w:rsidRDefault="006110D2" w:rsidP="00102206">
            <w:pPr>
              <w:pStyle w:val="Textbody"/>
              <w:spacing w:after="0"/>
              <w:rPr>
                <w:rFonts w:ascii="Arial" w:eastAsiaTheme="minorHAnsi" w:hAnsi="Arial"/>
                <w:kern w:val="0"/>
                <w:lang w:eastAsia="en-US" w:bidi="ar-SA"/>
              </w:rPr>
            </w:pPr>
            <w:r w:rsidRPr="000531F6">
              <w:rPr>
                <w:rFonts w:ascii="Arial" w:eastAsiaTheme="minorHAnsi" w:hAnsi="Arial"/>
                <w:kern w:val="0"/>
                <w:lang w:eastAsia="en-US" w:bidi="ar-SA"/>
              </w:rPr>
              <w:t xml:space="preserve">ssak mobilny -  zassanie max około 43 l/min, pojemność pojemnika min 1,5 litra, zbiornik na </w:t>
            </w:r>
            <w:r w:rsidR="0022193B" w:rsidRPr="000531F6">
              <w:rPr>
                <w:rFonts w:ascii="Arial" w:eastAsiaTheme="minorHAnsi" w:hAnsi="Arial"/>
                <w:kern w:val="0"/>
                <w:lang w:eastAsia="en-US" w:bidi="ar-SA"/>
              </w:rPr>
              <w:t>wydzielinę min 1 litr, możliwość</w:t>
            </w:r>
            <w:r w:rsidRPr="000531F6">
              <w:rPr>
                <w:rFonts w:ascii="Arial" w:eastAsiaTheme="minorHAnsi" w:hAnsi="Arial"/>
                <w:kern w:val="0"/>
                <w:lang w:eastAsia="en-US" w:bidi="ar-SA"/>
              </w:rPr>
              <w:t xml:space="preserve"> sterylizowania akcesoriów w autoklawie. Ssak ma być zaopatrzony w filtr anty przelewowy. Zakres siły ssania: -0,10 do -0,80 bar. Za</w:t>
            </w:r>
            <w:r w:rsidR="0022193B" w:rsidRPr="000531F6">
              <w:rPr>
                <w:rFonts w:ascii="Arial" w:eastAsiaTheme="minorHAnsi" w:hAnsi="Arial"/>
                <w:kern w:val="0"/>
                <w:lang w:eastAsia="en-US" w:bidi="ar-SA"/>
              </w:rPr>
              <w:t>s</w:t>
            </w:r>
            <w:r w:rsidRPr="000531F6">
              <w:rPr>
                <w:rFonts w:ascii="Arial" w:eastAsiaTheme="minorHAnsi" w:hAnsi="Arial"/>
                <w:kern w:val="0"/>
                <w:lang w:eastAsia="en-US" w:bidi="ar-SA"/>
              </w:rPr>
              <w:t>ilanie 100-240 V 50-60Hz, 12V DC.</w:t>
            </w:r>
            <w:r w:rsidR="00102206" w:rsidRPr="000531F6">
              <w:rPr>
                <w:rFonts w:ascii="Arial" w:eastAsiaTheme="minorHAnsi" w:hAnsi="Arial"/>
                <w:kern w:val="0"/>
                <w:lang w:eastAsia="en-US" w:bidi="ar-SA"/>
              </w:rPr>
              <w:t xml:space="preserve"> Praca </w:t>
            </w:r>
            <w:r w:rsidRPr="000531F6">
              <w:rPr>
                <w:rFonts w:ascii="Arial" w:eastAsiaTheme="minorHAnsi" w:hAnsi="Arial"/>
                <w:kern w:val="0"/>
                <w:lang w:eastAsia="en-US" w:bidi="ar-SA"/>
              </w:rPr>
              <w:t>ssaka oparta na wbudowanej bezolej</w:t>
            </w:r>
            <w:r w:rsidR="00102206" w:rsidRPr="000531F6">
              <w:rPr>
                <w:rFonts w:ascii="Arial" w:eastAsiaTheme="minorHAnsi" w:hAnsi="Arial"/>
                <w:kern w:val="0"/>
                <w:lang w:eastAsia="en-US" w:bidi="ar-SA"/>
              </w:rPr>
              <w:t>owej dwu membranowej pompie próż</w:t>
            </w:r>
            <w:r w:rsidRPr="000531F6">
              <w:rPr>
                <w:rFonts w:ascii="Arial" w:eastAsiaTheme="minorHAnsi" w:hAnsi="Arial"/>
                <w:kern w:val="0"/>
                <w:lang w:eastAsia="en-US" w:bidi="ar-SA"/>
              </w:rPr>
              <w:t>niowej, której czas pracy nieprzerwalnie trwa min 30 dni. manometr ssaka opisany w podziałach oznaczonych kolorami; mmHg, cm</w:t>
            </w:r>
            <w:r w:rsidR="00102206" w:rsidRPr="000531F6">
              <w:rPr>
                <w:rFonts w:ascii="Arial" w:eastAsiaTheme="minorHAnsi" w:hAnsi="Arial"/>
                <w:kern w:val="0"/>
                <w:lang w:eastAsia="en-US" w:bidi="ar-SA"/>
              </w:rPr>
              <w:t>H2O, bar, kPa.  Możliwość stoso</w:t>
            </w:r>
            <w:r w:rsidRPr="000531F6">
              <w:rPr>
                <w:rFonts w:ascii="Arial" w:eastAsiaTheme="minorHAnsi" w:hAnsi="Arial"/>
                <w:kern w:val="0"/>
                <w:lang w:eastAsia="en-US" w:bidi="ar-SA"/>
              </w:rPr>
              <w:t>wania jednorazowych worków na wydzielinę przystosowanych do zbiorn</w:t>
            </w:r>
            <w:r w:rsidR="00102206" w:rsidRPr="000531F6">
              <w:rPr>
                <w:rFonts w:ascii="Arial" w:eastAsiaTheme="minorHAnsi" w:hAnsi="Arial"/>
                <w:kern w:val="0"/>
                <w:lang w:eastAsia="en-US" w:bidi="ar-SA"/>
              </w:rPr>
              <w:t>i</w:t>
            </w:r>
            <w:r w:rsidRPr="000531F6">
              <w:rPr>
                <w:rFonts w:ascii="Arial" w:eastAsiaTheme="minorHAnsi" w:hAnsi="Arial"/>
                <w:kern w:val="0"/>
                <w:lang w:eastAsia="en-US" w:bidi="ar-SA"/>
              </w:rPr>
              <w:t xml:space="preserve">ków  wielorazowych z pokrywami wciskanymi w pojemnik. </w:t>
            </w:r>
            <w:r w:rsidR="00102206" w:rsidRPr="000531F6">
              <w:rPr>
                <w:rFonts w:ascii="Arial" w:eastAsiaTheme="minorHAnsi" w:hAnsi="Arial"/>
                <w:kern w:val="0"/>
                <w:lang w:eastAsia="en-US" w:bidi="ar-SA"/>
              </w:rPr>
              <w:t xml:space="preserve"> S</w:t>
            </w:r>
            <w:r w:rsidR="00D03152">
              <w:rPr>
                <w:rFonts w:ascii="Arial" w:eastAsiaTheme="minorHAnsi" w:hAnsi="Arial"/>
                <w:kern w:val="0"/>
                <w:lang w:eastAsia="en-US" w:bidi="ar-SA"/>
              </w:rPr>
              <w:t>s</w:t>
            </w:r>
            <w:r w:rsidR="00102206" w:rsidRPr="000531F6">
              <w:rPr>
                <w:rFonts w:ascii="Arial" w:eastAsiaTheme="minorHAnsi" w:hAnsi="Arial"/>
                <w:kern w:val="0"/>
                <w:lang w:eastAsia="en-US" w:bidi="ar-SA"/>
              </w:rPr>
              <w:t>ak musi być wyposażony w przewód łączący zbiornik bezpieczeń</w:t>
            </w:r>
            <w:r w:rsidRPr="000531F6">
              <w:rPr>
                <w:rFonts w:ascii="Arial" w:eastAsiaTheme="minorHAnsi" w:hAnsi="Arial"/>
                <w:kern w:val="0"/>
                <w:lang w:eastAsia="en-US" w:bidi="ar-SA"/>
              </w:rPr>
              <w:t>stwa ze zbiornikiem podstawowym, zbiornik bezpieczeństwa, 2 litrowy zbiornik podstawowy, nietłukący (z poliwęg</w:t>
            </w:r>
            <w:r w:rsidR="00102206" w:rsidRPr="000531F6">
              <w:rPr>
                <w:rFonts w:ascii="Arial" w:eastAsiaTheme="minorHAnsi" w:hAnsi="Arial"/>
                <w:kern w:val="0"/>
                <w:lang w:eastAsia="en-US" w:bidi="ar-SA"/>
              </w:rPr>
              <w:t>l</w:t>
            </w:r>
            <w:r w:rsidRPr="000531F6">
              <w:rPr>
                <w:rFonts w:ascii="Arial" w:eastAsiaTheme="minorHAnsi" w:hAnsi="Arial"/>
                <w:kern w:val="0"/>
                <w:lang w:eastAsia="en-US" w:bidi="ar-SA"/>
              </w:rPr>
              <w:t>anu) z możliwością za</w:t>
            </w:r>
            <w:r w:rsidR="00102206" w:rsidRPr="000531F6">
              <w:rPr>
                <w:rFonts w:ascii="Arial" w:eastAsiaTheme="minorHAnsi" w:hAnsi="Arial"/>
                <w:kern w:val="0"/>
                <w:lang w:eastAsia="en-US" w:bidi="ar-SA"/>
              </w:rPr>
              <w:t>stosowania pokrywy zakręcanej l</w:t>
            </w:r>
            <w:r w:rsidRPr="000531F6">
              <w:rPr>
                <w:rFonts w:ascii="Arial" w:eastAsiaTheme="minorHAnsi" w:hAnsi="Arial"/>
                <w:kern w:val="0"/>
                <w:lang w:eastAsia="en-US" w:bidi="ar-SA"/>
              </w:rPr>
              <w:t>ub wciskanej, z zabezpieczeniem przed przelaniem - s szt., uchwyt zbiornika z uchwytem na przewód ssący szt. 2, przewód ssący silikonowy z zaworem zatrzymującym ssanie dł. min</w:t>
            </w:r>
            <w:r w:rsidR="00102206" w:rsidRPr="000531F6">
              <w:rPr>
                <w:rFonts w:ascii="Arial" w:eastAsiaTheme="minorHAnsi" w:hAnsi="Arial"/>
                <w:kern w:val="0"/>
                <w:lang w:eastAsia="en-US" w:bidi="ar-SA"/>
              </w:rPr>
              <w:t>. 1,5 m - 1 szt., kabel zasilają</w:t>
            </w:r>
            <w:r w:rsidRPr="000531F6">
              <w:rPr>
                <w:rFonts w:ascii="Arial" w:eastAsiaTheme="minorHAnsi" w:hAnsi="Arial"/>
                <w:kern w:val="0"/>
                <w:lang w:eastAsia="en-US" w:bidi="ar-SA"/>
              </w:rPr>
              <w:t>cy min. 2 m sztuk 1 oraz stojak jezdny ssaka sztuk 1.</w:t>
            </w:r>
            <w:r w:rsidR="0052585F" w:rsidRPr="000531F6">
              <w:rPr>
                <w:rFonts w:ascii="Arial" w:eastAsiaTheme="minorHAnsi" w:hAnsi="Arial"/>
                <w:kern w:val="0"/>
                <w:lang w:eastAsia="en-US" w:bidi="ar-SA"/>
              </w:rPr>
              <w:t xml:space="preserve"> Instrukcja w języku polskim. Gwarancja 24 </w:t>
            </w:r>
            <w:r w:rsidR="0052585F" w:rsidRPr="000531F6">
              <w:rPr>
                <w:rFonts w:ascii="Arial" w:eastAsiaTheme="minorHAnsi" w:hAnsi="Arial"/>
                <w:kern w:val="0"/>
                <w:lang w:eastAsia="en-US" w:bidi="ar-SA"/>
              </w:rPr>
              <w:lastRenderedPageBreak/>
              <w:t>miesiące.</w:t>
            </w:r>
          </w:p>
        </w:tc>
      </w:tr>
      <w:tr w:rsidR="006110D2" w:rsidRPr="000531F6" w14:paraId="329CB67E" w14:textId="77777777" w:rsidTr="00570BF0">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519EBBAF" w14:textId="3B97799C" w:rsidR="006110D2" w:rsidRPr="000531F6" w:rsidRDefault="00504805" w:rsidP="00570BF0">
            <w:pPr>
              <w:spacing w:after="0" w:line="240" w:lineRule="auto"/>
              <w:jc w:val="center"/>
              <w:rPr>
                <w:rFonts w:ascii="Arial" w:eastAsia="Times New Roman" w:hAnsi="Arial" w:cs="Arial"/>
                <w:color w:val="000000"/>
                <w:sz w:val="24"/>
                <w:szCs w:val="24"/>
                <w:lang w:eastAsia="pl-PL"/>
              </w:rPr>
            </w:pPr>
            <w:r w:rsidRPr="000531F6">
              <w:rPr>
                <w:rFonts w:ascii="Arial" w:eastAsia="Times New Roman" w:hAnsi="Arial" w:cs="Arial"/>
                <w:color w:val="000000"/>
                <w:sz w:val="24"/>
                <w:szCs w:val="24"/>
                <w:lang w:eastAsia="pl-PL"/>
              </w:rPr>
              <w:lastRenderedPageBreak/>
              <w:t>6</w:t>
            </w:r>
          </w:p>
        </w:tc>
        <w:tc>
          <w:tcPr>
            <w:tcW w:w="2386" w:type="dxa"/>
            <w:tcBorders>
              <w:top w:val="single" w:sz="4" w:space="0" w:color="auto"/>
              <w:left w:val="nil"/>
              <w:bottom w:val="single" w:sz="4" w:space="0" w:color="auto"/>
              <w:right w:val="single" w:sz="4" w:space="0" w:color="auto"/>
            </w:tcBorders>
            <w:shd w:val="clear" w:color="auto" w:fill="auto"/>
            <w:vAlign w:val="center"/>
          </w:tcPr>
          <w:p w14:paraId="51930DCD" w14:textId="6667EA61" w:rsidR="006110D2" w:rsidRPr="000531F6" w:rsidRDefault="00504805" w:rsidP="00C1412F">
            <w:pPr>
              <w:spacing w:after="0" w:line="240" w:lineRule="auto"/>
              <w:jc w:val="center"/>
              <w:rPr>
                <w:rFonts w:ascii="Arial" w:eastAsia="Times New Roman" w:hAnsi="Arial" w:cs="Arial"/>
                <w:color w:val="000000"/>
                <w:sz w:val="24"/>
                <w:szCs w:val="24"/>
                <w:lang w:eastAsia="pl-PL"/>
              </w:rPr>
            </w:pPr>
            <w:r w:rsidRPr="000531F6">
              <w:rPr>
                <w:rFonts w:ascii="Arial" w:eastAsia="Times New Roman" w:hAnsi="Arial" w:cs="Arial"/>
                <w:color w:val="000000"/>
                <w:sz w:val="24"/>
                <w:szCs w:val="24"/>
                <w:lang w:eastAsia="pl-PL"/>
              </w:rPr>
              <w:t>Aparat AMBU</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855A86" w14:textId="613BA7F3" w:rsidR="006110D2" w:rsidRPr="000531F6" w:rsidRDefault="00504805" w:rsidP="00575B99">
            <w:pPr>
              <w:spacing w:after="0" w:line="240" w:lineRule="auto"/>
              <w:jc w:val="right"/>
              <w:rPr>
                <w:rFonts w:ascii="Arial" w:eastAsia="Times New Roman" w:hAnsi="Arial" w:cs="Arial"/>
                <w:color w:val="000000"/>
                <w:sz w:val="24"/>
                <w:szCs w:val="24"/>
                <w:lang w:eastAsia="pl-PL"/>
              </w:rPr>
            </w:pPr>
            <w:r w:rsidRPr="000531F6">
              <w:rPr>
                <w:rFonts w:ascii="Arial" w:eastAsia="Times New Roman" w:hAnsi="Arial" w:cs="Arial"/>
                <w:color w:val="000000"/>
                <w:sz w:val="24"/>
                <w:szCs w:val="24"/>
                <w:lang w:eastAsia="pl-PL"/>
              </w:rPr>
              <w:t>5</w:t>
            </w:r>
          </w:p>
        </w:tc>
        <w:tc>
          <w:tcPr>
            <w:tcW w:w="9822" w:type="dxa"/>
            <w:tcBorders>
              <w:top w:val="single" w:sz="4" w:space="0" w:color="auto"/>
              <w:left w:val="nil"/>
              <w:bottom w:val="single" w:sz="4" w:space="0" w:color="auto"/>
              <w:right w:val="single" w:sz="4" w:space="0" w:color="auto"/>
            </w:tcBorders>
            <w:shd w:val="clear" w:color="auto" w:fill="auto"/>
            <w:vAlign w:val="bottom"/>
          </w:tcPr>
          <w:p w14:paraId="43EE937B" w14:textId="5E0E6DA6" w:rsidR="006110D2" w:rsidRPr="000531F6" w:rsidRDefault="00C317E8" w:rsidP="00C317E8">
            <w:pPr>
              <w:rPr>
                <w:rFonts w:ascii="Arial" w:hAnsi="Arial" w:cs="Arial"/>
                <w:sz w:val="24"/>
                <w:szCs w:val="24"/>
              </w:rPr>
            </w:pPr>
            <w:r w:rsidRPr="000531F6">
              <w:rPr>
                <w:rFonts w:ascii="Arial" w:hAnsi="Arial" w:cs="Arial"/>
                <w:sz w:val="24"/>
                <w:szCs w:val="24"/>
              </w:rPr>
              <w:t>Resuscytator silikonowy - wielokrotnego użytku, przeźroczysty dla dorosłych(od 30 kg masy ciała), z zaworem bezpieczeństwa 60cm H2O – z możliwością wielokrotnej sterylizacji w autoklawie. W komplecie resuscytator, rurki ustno-gardłowe, maska tlenowa silikonowa dla dorosłych (#5), dren tlenowy, objętość worka ok. 1800 ml, nie zawierający latexu.  Temperatura przechowywania: -40°C do +60°C  Temperatura pracy: -18°C do +50°C</w:t>
            </w:r>
            <w:r w:rsidR="0052585F" w:rsidRPr="000531F6">
              <w:rPr>
                <w:rFonts w:ascii="Arial" w:hAnsi="Arial" w:cs="Arial"/>
                <w:sz w:val="24"/>
                <w:szCs w:val="24"/>
              </w:rPr>
              <w:t>. Instrukcja w języku Polskim. Gwarancja 24 miesiące.</w:t>
            </w:r>
          </w:p>
        </w:tc>
      </w:tr>
      <w:tr w:rsidR="00504805" w:rsidRPr="000531F6" w14:paraId="1571D399" w14:textId="77777777" w:rsidTr="00570BF0">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7BCAD4E2" w14:textId="63D9A22B" w:rsidR="00504805" w:rsidRPr="000531F6" w:rsidRDefault="00504805" w:rsidP="00570BF0">
            <w:pPr>
              <w:spacing w:after="0" w:line="240" w:lineRule="auto"/>
              <w:jc w:val="center"/>
              <w:rPr>
                <w:rFonts w:ascii="Arial" w:eastAsia="Times New Roman" w:hAnsi="Arial" w:cs="Arial"/>
                <w:color w:val="000000"/>
                <w:sz w:val="24"/>
                <w:szCs w:val="24"/>
                <w:lang w:eastAsia="pl-PL"/>
              </w:rPr>
            </w:pPr>
            <w:r w:rsidRPr="000531F6">
              <w:rPr>
                <w:rFonts w:ascii="Arial" w:eastAsia="Times New Roman" w:hAnsi="Arial" w:cs="Arial"/>
                <w:color w:val="000000"/>
                <w:sz w:val="24"/>
                <w:szCs w:val="24"/>
                <w:lang w:eastAsia="pl-PL"/>
              </w:rPr>
              <w:t xml:space="preserve">7. </w:t>
            </w:r>
          </w:p>
        </w:tc>
        <w:tc>
          <w:tcPr>
            <w:tcW w:w="2386" w:type="dxa"/>
            <w:tcBorders>
              <w:top w:val="single" w:sz="4" w:space="0" w:color="auto"/>
              <w:left w:val="nil"/>
              <w:bottom w:val="single" w:sz="4" w:space="0" w:color="auto"/>
              <w:right w:val="single" w:sz="4" w:space="0" w:color="auto"/>
            </w:tcBorders>
            <w:shd w:val="clear" w:color="auto" w:fill="auto"/>
            <w:vAlign w:val="center"/>
          </w:tcPr>
          <w:p w14:paraId="2F55D185" w14:textId="0B5B3C42" w:rsidR="00504805" w:rsidRPr="000531F6" w:rsidRDefault="00504805" w:rsidP="00C1412F">
            <w:pPr>
              <w:spacing w:after="0" w:line="240" w:lineRule="auto"/>
              <w:jc w:val="center"/>
              <w:rPr>
                <w:rFonts w:ascii="Arial" w:eastAsia="Times New Roman" w:hAnsi="Arial" w:cs="Arial"/>
                <w:color w:val="000000"/>
                <w:sz w:val="24"/>
                <w:szCs w:val="24"/>
                <w:lang w:eastAsia="pl-PL"/>
              </w:rPr>
            </w:pPr>
            <w:r w:rsidRPr="000531F6">
              <w:rPr>
                <w:rFonts w:ascii="Arial" w:eastAsia="Times New Roman" w:hAnsi="Arial" w:cs="Arial"/>
                <w:color w:val="000000"/>
                <w:sz w:val="24"/>
                <w:szCs w:val="24"/>
                <w:lang w:eastAsia="pl-PL"/>
              </w:rPr>
              <w:t>Nebulizator</w:t>
            </w:r>
          </w:p>
        </w:tc>
        <w:tc>
          <w:tcPr>
            <w:tcW w:w="1276" w:type="dxa"/>
            <w:tcBorders>
              <w:top w:val="single" w:sz="4" w:space="0" w:color="auto"/>
              <w:left w:val="nil"/>
              <w:bottom w:val="single" w:sz="4" w:space="0" w:color="auto"/>
              <w:right w:val="single" w:sz="4" w:space="0" w:color="auto"/>
            </w:tcBorders>
            <w:shd w:val="clear" w:color="auto" w:fill="auto"/>
            <w:vAlign w:val="bottom"/>
          </w:tcPr>
          <w:p w14:paraId="0A53B90E" w14:textId="2D9C4734" w:rsidR="00504805" w:rsidRPr="000531F6" w:rsidRDefault="00504805" w:rsidP="00575B99">
            <w:pPr>
              <w:spacing w:after="0" w:line="240" w:lineRule="auto"/>
              <w:jc w:val="right"/>
              <w:rPr>
                <w:rFonts w:ascii="Arial" w:eastAsia="Times New Roman" w:hAnsi="Arial" w:cs="Arial"/>
                <w:color w:val="000000"/>
                <w:sz w:val="24"/>
                <w:szCs w:val="24"/>
                <w:lang w:eastAsia="pl-PL"/>
              </w:rPr>
            </w:pPr>
            <w:r w:rsidRPr="000531F6">
              <w:rPr>
                <w:rFonts w:ascii="Arial" w:eastAsia="Times New Roman" w:hAnsi="Arial" w:cs="Arial"/>
                <w:color w:val="000000"/>
                <w:sz w:val="24"/>
                <w:szCs w:val="24"/>
                <w:lang w:eastAsia="pl-PL"/>
              </w:rPr>
              <w:t>3</w:t>
            </w:r>
          </w:p>
        </w:tc>
        <w:tc>
          <w:tcPr>
            <w:tcW w:w="9822" w:type="dxa"/>
            <w:tcBorders>
              <w:top w:val="single" w:sz="4" w:space="0" w:color="auto"/>
              <w:left w:val="nil"/>
              <w:bottom w:val="single" w:sz="4" w:space="0" w:color="auto"/>
              <w:right w:val="single" w:sz="4" w:space="0" w:color="auto"/>
            </w:tcBorders>
            <w:shd w:val="clear" w:color="auto" w:fill="auto"/>
            <w:vAlign w:val="bottom"/>
          </w:tcPr>
          <w:p w14:paraId="48EF0A7A" w14:textId="65B0B2C8" w:rsidR="00504805" w:rsidRPr="000531F6" w:rsidRDefault="00C317E8" w:rsidP="009810D6">
            <w:pPr>
              <w:pStyle w:val="Textbody"/>
              <w:spacing w:after="0"/>
              <w:rPr>
                <w:rFonts w:ascii="Arial" w:eastAsiaTheme="minorHAnsi" w:hAnsi="Arial"/>
                <w:kern w:val="0"/>
                <w:lang w:eastAsia="en-US" w:bidi="ar-SA"/>
              </w:rPr>
            </w:pPr>
            <w:r w:rsidRPr="000531F6">
              <w:rPr>
                <w:rFonts w:ascii="Arial" w:hAnsi="Arial"/>
                <w:color w:val="000000"/>
              </w:rPr>
              <w:t>Zasilanie 230V 50Hz, Przepływ powietrza  minimum 20 l/min, Rozmiar cząstki 0,5 – 5 µm, Zabezpieczenie przed pracą „na sucho” – pływak mechaniczny odcinający zasilanie przy braku wody, Waga max 2 kg bez dodatkowo osprzętu. Pojemność pojemnika na lek min. 150 ml. Pojemność naczynia na wodę min. 300 ml. Poziom głośności max 35 dB (A)</w:t>
            </w:r>
            <w:r w:rsidR="009810D6" w:rsidRPr="000531F6">
              <w:rPr>
                <w:rFonts w:ascii="Arial" w:hAnsi="Arial"/>
                <w:color w:val="000000"/>
              </w:rPr>
              <w:t>.  W zestawie z: wąż dla pacjenta, maska do inhalacji dla dorosłych min. 20 sztuk, wkładka do małej ilości leków 5 sztuk, ustniki 20 szt.</w:t>
            </w:r>
            <w:r w:rsidR="0052585F" w:rsidRPr="000531F6">
              <w:rPr>
                <w:rFonts w:ascii="Arial" w:hAnsi="Arial"/>
                <w:color w:val="000000"/>
              </w:rPr>
              <w:t xml:space="preserve"> Instrukcja w języku polskim. Gwarancja 24 miesiące.</w:t>
            </w:r>
          </w:p>
        </w:tc>
      </w:tr>
      <w:tr w:rsidR="00504805" w:rsidRPr="000531F6" w14:paraId="2E55B729" w14:textId="77777777" w:rsidTr="00570BF0">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4CA1ACE0" w14:textId="296064E8" w:rsidR="00504805" w:rsidRPr="000531F6" w:rsidRDefault="00504805" w:rsidP="00570BF0">
            <w:pPr>
              <w:spacing w:after="0" w:line="240" w:lineRule="auto"/>
              <w:jc w:val="center"/>
              <w:rPr>
                <w:rFonts w:ascii="Arial" w:eastAsia="Times New Roman" w:hAnsi="Arial" w:cs="Arial"/>
                <w:color w:val="000000"/>
                <w:sz w:val="24"/>
                <w:szCs w:val="24"/>
                <w:lang w:eastAsia="pl-PL"/>
              </w:rPr>
            </w:pPr>
            <w:r w:rsidRPr="000531F6">
              <w:rPr>
                <w:rFonts w:ascii="Arial" w:eastAsia="Times New Roman" w:hAnsi="Arial" w:cs="Arial"/>
                <w:color w:val="000000"/>
                <w:sz w:val="24"/>
                <w:szCs w:val="24"/>
                <w:lang w:eastAsia="pl-PL"/>
              </w:rPr>
              <w:t>8</w:t>
            </w:r>
          </w:p>
        </w:tc>
        <w:tc>
          <w:tcPr>
            <w:tcW w:w="2386" w:type="dxa"/>
            <w:tcBorders>
              <w:top w:val="single" w:sz="4" w:space="0" w:color="auto"/>
              <w:left w:val="nil"/>
              <w:bottom w:val="single" w:sz="4" w:space="0" w:color="auto"/>
              <w:right w:val="single" w:sz="4" w:space="0" w:color="auto"/>
            </w:tcBorders>
            <w:shd w:val="clear" w:color="auto" w:fill="auto"/>
            <w:vAlign w:val="center"/>
          </w:tcPr>
          <w:p w14:paraId="7171ECFB" w14:textId="5014AC69" w:rsidR="00504805" w:rsidRPr="000531F6" w:rsidRDefault="00504805" w:rsidP="00C1412F">
            <w:pPr>
              <w:spacing w:after="0" w:line="240" w:lineRule="auto"/>
              <w:jc w:val="center"/>
              <w:rPr>
                <w:rFonts w:ascii="Arial" w:eastAsia="Times New Roman" w:hAnsi="Arial" w:cs="Arial"/>
                <w:color w:val="000000"/>
                <w:sz w:val="24"/>
                <w:szCs w:val="24"/>
                <w:lang w:eastAsia="pl-PL"/>
              </w:rPr>
            </w:pPr>
            <w:r w:rsidRPr="000531F6">
              <w:rPr>
                <w:rFonts w:ascii="Arial" w:eastAsia="Times New Roman" w:hAnsi="Arial" w:cs="Arial"/>
                <w:color w:val="000000"/>
                <w:sz w:val="24"/>
                <w:szCs w:val="24"/>
                <w:lang w:eastAsia="pl-PL"/>
              </w:rPr>
              <w:t>Pompa infuzyjna dwustrzykawkowa</w:t>
            </w:r>
          </w:p>
        </w:tc>
        <w:tc>
          <w:tcPr>
            <w:tcW w:w="1276" w:type="dxa"/>
            <w:tcBorders>
              <w:top w:val="single" w:sz="4" w:space="0" w:color="auto"/>
              <w:left w:val="nil"/>
              <w:bottom w:val="single" w:sz="4" w:space="0" w:color="auto"/>
              <w:right w:val="single" w:sz="4" w:space="0" w:color="auto"/>
            </w:tcBorders>
            <w:shd w:val="clear" w:color="auto" w:fill="auto"/>
            <w:vAlign w:val="bottom"/>
          </w:tcPr>
          <w:p w14:paraId="3A9D50B2" w14:textId="29A4C553" w:rsidR="00504805" w:rsidRPr="000531F6" w:rsidRDefault="00504805" w:rsidP="00575B99">
            <w:pPr>
              <w:spacing w:after="0" w:line="240" w:lineRule="auto"/>
              <w:jc w:val="right"/>
              <w:rPr>
                <w:rFonts w:ascii="Arial" w:eastAsia="Times New Roman" w:hAnsi="Arial" w:cs="Arial"/>
                <w:color w:val="000000"/>
                <w:sz w:val="24"/>
                <w:szCs w:val="24"/>
                <w:lang w:eastAsia="pl-PL"/>
              </w:rPr>
            </w:pPr>
            <w:r w:rsidRPr="000531F6">
              <w:rPr>
                <w:rFonts w:ascii="Arial" w:eastAsia="Times New Roman" w:hAnsi="Arial" w:cs="Arial"/>
                <w:color w:val="000000"/>
                <w:sz w:val="24"/>
                <w:szCs w:val="24"/>
                <w:lang w:eastAsia="pl-PL"/>
              </w:rPr>
              <w:t>10</w:t>
            </w:r>
          </w:p>
        </w:tc>
        <w:tc>
          <w:tcPr>
            <w:tcW w:w="9822" w:type="dxa"/>
            <w:tcBorders>
              <w:top w:val="single" w:sz="4" w:space="0" w:color="auto"/>
              <w:left w:val="nil"/>
              <w:bottom w:val="single" w:sz="4" w:space="0" w:color="auto"/>
              <w:right w:val="single" w:sz="4" w:space="0" w:color="auto"/>
            </w:tcBorders>
            <w:shd w:val="clear" w:color="auto" w:fill="auto"/>
            <w:vAlign w:val="bottom"/>
          </w:tcPr>
          <w:p w14:paraId="25C2A427" w14:textId="0D88C8C1" w:rsidR="00A1326C" w:rsidRPr="000531F6" w:rsidRDefault="00A1326C" w:rsidP="00A1326C">
            <w:pPr>
              <w:snapToGrid w:val="0"/>
              <w:spacing w:after="0" w:line="240" w:lineRule="auto"/>
              <w:rPr>
                <w:rFonts w:ascii="Arial" w:hAnsi="Arial" w:cs="Arial"/>
                <w:sz w:val="24"/>
                <w:szCs w:val="24"/>
              </w:rPr>
            </w:pPr>
            <w:r w:rsidRPr="000531F6">
              <w:rPr>
                <w:rFonts w:ascii="Arial" w:hAnsi="Arial" w:cs="Arial"/>
                <w:sz w:val="24"/>
                <w:szCs w:val="24"/>
              </w:rPr>
              <w:t>Pompa infuzyjna dwustrzykawkowa z klawiatura numeryczną (zamawiający nie dopuszcza pomp jednostrzykawkowych łączonych w zestawy) rok produkcji min. 20</w:t>
            </w:r>
            <w:r w:rsidR="00D03152">
              <w:rPr>
                <w:rFonts w:ascii="Arial" w:hAnsi="Arial" w:cs="Arial"/>
                <w:sz w:val="24"/>
                <w:szCs w:val="24"/>
              </w:rPr>
              <w:t>19</w:t>
            </w:r>
            <w:r w:rsidRPr="000531F6">
              <w:rPr>
                <w:rFonts w:ascii="Arial" w:hAnsi="Arial" w:cs="Arial"/>
                <w:sz w:val="24"/>
                <w:szCs w:val="24"/>
              </w:rPr>
              <w:t xml:space="preserve">. Pompa skalibrowana do pracy ze strzykawkami o pojemności minimum 5, 10, 20, 30 i 50 ml różnych typów i co najmniej 5-ciu producentów strzykawek, dostępnych na rynku. Automatyczne rozpoznawanie przez pompę rozmiaru strzykawki. Możliwość programowania parametrów infuzji (prędkości infuzji, objętości, czasu infuzji). Maksymalny programowany czas infuzji: minimum 72 godziny. Programowanie prędkości infuzji </w:t>
            </w:r>
          </w:p>
          <w:p w14:paraId="2E2275A1" w14:textId="77777777" w:rsidR="00A1326C" w:rsidRPr="000531F6" w:rsidRDefault="00A1326C" w:rsidP="00A1326C">
            <w:pPr>
              <w:snapToGrid w:val="0"/>
              <w:spacing w:after="0" w:line="240" w:lineRule="auto"/>
              <w:rPr>
                <w:rFonts w:ascii="Arial" w:hAnsi="Arial" w:cs="Arial"/>
                <w:sz w:val="24"/>
                <w:szCs w:val="24"/>
              </w:rPr>
            </w:pPr>
            <w:r w:rsidRPr="000531F6">
              <w:rPr>
                <w:rFonts w:ascii="Arial" w:hAnsi="Arial" w:cs="Arial"/>
                <w:sz w:val="24"/>
                <w:szCs w:val="24"/>
              </w:rPr>
              <w:t xml:space="preserve">w jednostkach: ml/h, µg/h, mg/h, µg/kg/h, mg/kg/h, µg/kg/min, mg/kg/min. Dokładność prędkości infuzji: nie gorsza niż ±2,0%. Możliwość podania bolusa w dowolnym momencie infuzji. </w:t>
            </w:r>
            <w:r w:rsidRPr="000531F6">
              <w:rPr>
                <w:rFonts w:ascii="Arial" w:hAnsi="Arial" w:cs="Arial"/>
                <w:color w:val="000000"/>
                <w:sz w:val="24"/>
                <w:szCs w:val="24"/>
              </w:rPr>
              <w:t xml:space="preserve">Zakres programowania prędkości podaży bolusa </w:t>
            </w:r>
          </w:p>
          <w:p w14:paraId="7B07801F" w14:textId="77777777" w:rsidR="00A1326C" w:rsidRPr="000531F6" w:rsidRDefault="00A1326C" w:rsidP="00A1326C">
            <w:pPr>
              <w:pStyle w:val="Akapitzlist"/>
              <w:numPr>
                <w:ilvl w:val="0"/>
                <w:numId w:val="6"/>
              </w:numPr>
              <w:suppressAutoHyphens/>
              <w:spacing w:after="0" w:line="240" w:lineRule="auto"/>
              <w:contextualSpacing w:val="0"/>
              <w:rPr>
                <w:rFonts w:ascii="Arial" w:hAnsi="Arial" w:cs="Arial"/>
                <w:color w:val="000000"/>
                <w:sz w:val="24"/>
                <w:szCs w:val="24"/>
              </w:rPr>
            </w:pPr>
            <w:r w:rsidRPr="000531F6">
              <w:rPr>
                <w:rFonts w:ascii="Arial" w:hAnsi="Arial" w:cs="Arial"/>
                <w:color w:val="000000"/>
                <w:sz w:val="24"/>
                <w:szCs w:val="24"/>
              </w:rPr>
              <w:t>dla strzykawek 5 ml:               minimum do 400 ml/h;</w:t>
            </w:r>
          </w:p>
          <w:p w14:paraId="69CB0EE9" w14:textId="77777777" w:rsidR="00A1326C" w:rsidRPr="000531F6" w:rsidRDefault="00A1326C" w:rsidP="00A1326C">
            <w:pPr>
              <w:pStyle w:val="Akapitzlist"/>
              <w:numPr>
                <w:ilvl w:val="0"/>
                <w:numId w:val="6"/>
              </w:numPr>
              <w:suppressAutoHyphens/>
              <w:spacing w:after="0" w:line="240" w:lineRule="auto"/>
              <w:contextualSpacing w:val="0"/>
              <w:rPr>
                <w:rFonts w:ascii="Arial" w:hAnsi="Arial" w:cs="Arial"/>
                <w:color w:val="000000"/>
                <w:sz w:val="24"/>
                <w:szCs w:val="24"/>
              </w:rPr>
            </w:pPr>
            <w:r w:rsidRPr="000531F6">
              <w:rPr>
                <w:rFonts w:ascii="Arial" w:hAnsi="Arial" w:cs="Arial"/>
                <w:color w:val="000000"/>
                <w:sz w:val="24"/>
                <w:szCs w:val="24"/>
              </w:rPr>
              <w:t>dla strzykawek 10 ml:           minimum do 600 ml/h;</w:t>
            </w:r>
          </w:p>
          <w:p w14:paraId="2E07DEFB" w14:textId="77777777" w:rsidR="00A1326C" w:rsidRPr="000531F6" w:rsidRDefault="00A1326C" w:rsidP="00A1326C">
            <w:pPr>
              <w:pStyle w:val="Akapitzlist"/>
              <w:numPr>
                <w:ilvl w:val="0"/>
                <w:numId w:val="6"/>
              </w:numPr>
              <w:suppressAutoHyphens/>
              <w:spacing w:after="0" w:line="240" w:lineRule="auto"/>
              <w:contextualSpacing w:val="0"/>
              <w:rPr>
                <w:rFonts w:ascii="Arial" w:hAnsi="Arial" w:cs="Arial"/>
                <w:color w:val="000000"/>
                <w:sz w:val="24"/>
                <w:szCs w:val="24"/>
              </w:rPr>
            </w:pPr>
            <w:r w:rsidRPr="000531F6">
              <w:rPr>
                <w:rFonts w:ascii="Arial" w:hAnsi="Arial" w:cs="Arial"/>
                <w:color w:val="000000"/>
                <w:sz w:val="24"/>
                <w:szCs w:val="24"/>
              </w:rPr>
              <w:t xml:space="preserve">dla strzykawek 20 ml:       minimum do 1000 ml/h; </w:t>
            </w:r>
          </w:p>
          <w:p w14:paraId="7F0210F5" w14:textId="77777777" w:rsidR="00A1326C" w:rsidRPr="000531F6" w:rsidRDefault="00A1326C" w:rsidP="00A1326C">
            <w:pPr>
              <w:pStyle w:val="Akapitzlist"/>
              <w:numPr>
                <w:ilvl w:val="0"/>
                <w:numId w:val="6"/>
              </w:numPr>
              <w:suppressAutoHyphens/>
              <w:spacing w:after="0" w:line="240" w:lineRule="auto"/>
              <w:contextualSpacing w:val="0"/>
              <w:rPr>
                <w:rFonts w:ascii="Arial" w:hAnsi="Arial" w:cs="Arial"/>
                <w:color w:val="000000"/>
                <w:sz w:val="24"/>
                <w:szCs w:val="24"/>
              </w:rPr>
            </w:pPr>
            <w:r w:rsidRPr="000531F6">
              <w:rPr>
                <w:rFonts w:ascii="Arial" w:hAnsi="Arial" w:cs="Arial"/>
                <w:color w:val="000000"/>
                <w:sz w:val="24"/>
                <w:szCs w:val="24"/>
              </w:rPr>
              <w:t>dla strzykawek 30 ml:     minimum do 1200 ml/h;</w:t>
            </w:r>
          </w:p>
          <w:p w14:paraId="479AE725" w14:textId="0D5175AD" w:rsidR="00A1326C" w:rsidRPr="000531F6" w:rsidRDefault="00A1326C" w:rsidP="00A1326C">
            <w:pPr>
              <w:snapToGrid w:val="0"/>
              <w:spacing w:after="0" w:line="240" w:lineRule="auto"/>
              <w:rPr>
                <w:rFonts w:ascii="Arial" w:hAnsi="Arial" w:cs="Arial"/>
                <w:color w:val="000000"/>
                <w:sz w:val="24"/>
                <w:szCs w:val="24"/>
              </w:rPr>
            </w:pPr>
            <w:r w:rsidRPr="000531F6">
              <w:rPr>
                <w:rFonts w:ascii="Arial" w:hAnsi="Arial" w:cs="Arial"/>
                <w:color w:val="000000"/>
                <w:sz w:val="24"/>
                <w:szCs w:val="24"/>
              </w:rPr>
              <w:t>dla strzykawek 50 ml:    minimum do 2000 ml/h</w:t>
            </w:r>
          </w:p>
          <w:p w14:paraId="402D8BB7" w14:textId="287F6388" w:rsidR="00504805" w:rsidRPr="000531F6" w:rsidRDefault="00A1326C" w:rsidP="00A1326C">
            <w:pPr>
              <w:snapToGrid w:val="0"/>
              <w:spacing w:after="0" w:line="240" w:lineRule="auto"/>
              <w:rPr>
                <w:rFonts w:ascii="Arial" w:hAnsi="Arial" w:cs="Arial"/>
                <w:i/>
                <w:sz w:val="24"/>
                <w:szCs w:val="24"/>
              </w:rPr>
            </w:pPr>
            <w:r w:rsidRPr="000531F6">
              <w:rPr>
                <w:rFonts w:ascii="Arial" w:hAnsi="Arial" w:cs="Arial"/>
                <w:color w:val="000000"/>
                <w:sz w:val="24"/>
                <w:szCs w:val="24"/>
              </w:rPr>
              <w:t xml:space="preserve">Programowanie ciśnienia okluzji: minimum 9 poziomów w zakresie 300÷900 mmHg. </w:t>
            </w:r>
            <w:r w:rsidRPr="000531F6">
              <w:rPr>
                <w:rFonts w:ascii="Arial" w:hAnsi="Arial" w:cs="Arial"/>
                <w:color w:val="000000"/>
                <w:sz w:val="24"/>
                <w:szCs w:val="24"/>
              </w:rPr>
              <w:lastRenderedPageBreak/>
              <w:t xml:space="preserve">Funkcja Stand-By z możliwością programowania do 24 godzin. </w:t>
            </w:r>
            <w:r w:rsidR="00032DDA" w:rsidRPr="000531F6">
              <w:rPr>
                <w:rFonts w:ascii="Arial" w:hAnsi="Arial" w:cs="Arial"/>
                <w:color w:val="000000"/>
                <w:sz w:val="24"/>
                <w:szCs w:val="24"/>
              </w:rPr>
              <w:t xml:space="preserve">Pamięć pompy: możliwość zapamiętania minimum 2000 zdarzeń z historii infuzji. Wyświetlacz LCD. Wskaźnik ciśnienia infuzji. </w:t>
            </w:r>
            <w:r w:rsidR="00032DDA" w:rsidRPr="000531F6">
              <w:rPr>
                <w:rFonts w:ascii="Arial" w:hAnsi="Arial" w:cs="Arial"/>
                <w:sz w:val="24"/>
                <w:szCs w:val="24"/>
              </w:rPr>
              <w:t xml:space="preserve">Możliwość podglądu parametrów podaży w trakcie infuzji. Możliwość prowadzenia nazwy oddziału. Wbudowana biblioteka leków z możliwością modyfikacji przez użytkownika: minimum 60 nazw leków w bibliotece. System alarmów: akustyczne i wizualne. Komunikacja użytkownika z pompą w języku polskim. Zasilanie pompy z sieci elektroenergetycznej 230 V AC 50 Hz i z wbudowanego akumulatora. Pompa wyposażona w chwyt, umożliwiający zamocowanie pompy na statywie, łóżku i szynie. Pompa odporna na defibrylację. Masa nie większa niż 4,5 kg. Wyrób medyczny oznaczony znakiem CE. </w:t>
            </w:r>
            <w:r w:rsidR="00032DDA" w:rsidRPr="000531F6">
              <w:rPr>
                <w:rFonts w:ascii="Arial" w:hAnsi="Arial" w:cs="Arial"/>
                <w:i/>
                <w:sz w:val="24"/>
                <w:szCs w:val="24"/>
              </w:rPr>
              <w:t xml:space="preserve">Dostarczyć wraz z dostawą przedmiotu zamówienia kopię certyfikatu i deklaracji zgodności. </w:t>
            </w:r>
            <w:r w:rsidR="0052585F" w:rsidRPr="000531F6">
              <w:rPr>
                <w:rFonts w:ascii="Arial" w:hAnsi="Arial" w:cs="Arial"/>
                <w:sz w:val="24"/>
                <w:szCs w:val="24"/>
              </w:rPr>
              <w:t>Instrukcja w języku polskim</w:t>
            </w:r>
            <w:r w:rsidR="00032DDA" w:rsidRPr="000531F6">
              <w:rPr>
                <w:rFonts w:ascii="Arial" w:hAnsi="Arial" w:cs="Arial"/>
                <w:sz w:val="24"/>
                <w:szCs w:val="24"/>
              </w:rPr>
              <w:t xml:space="preserve">. Okres gwarancji: minimum 24 miesiące. </w:t>
            </w:r>
          </w:p>
        </w:tc>
      </w:tr>
      <w:tr w:rsidR="00504805" w:rsidRPr="000531F6" w14:paraId="0B8B870D" w14:textId="77777777" w:rsidTr="00570BF0">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303A8626" w14:textId="6AA707A7" w:rsidR="00504805" w:rsidRPr="000531F6" w:rsidRDefault="00504805" w:rsidP="00570BF0">
            <w:pPr>
              <w:spacing w:after="0" w:line="240" w:lineRule="auto"/>
              <w:jc w:val="center"/>
              <w:rPr>
                <w:rFonts w:ascii="Arial" w:eastAsia="Times New Roman" w:hAnsi="Arial" w:cs="Arial"/>
                <w:color w:val="000000"/>
                <w:sz w:val="24"/>
                <w:szCs w:val="24"/>
                <w:lang w:eastAsia="pl-PL"/>
              </w:rPr>
            </w:pPr>
            <w:r w:rsidRPr="000531F6">
              <w:rPr>
                <w:rFonts w:ascii="Arial" w:eastAsia="Times New Roman" w:hAnsi="Arial" w:cs="Arial"/>
                <w:color w:val="000000"/>
                <w:sz w:val="24"/>
                <w:szCs w:val="24"/>
                <w:lang w:eastAsia="pl-PL"/>
              </w:rPr>
              <w:lastRenderedPageBreak/>
              <w:t>9.</w:t>
            </w:r>
          </w:p>
        </w:tc>
        <w:tc>
          <w:tcPr>
            <w:tcW w:w="2386" w:type="dxa"/>
            <w:tcBorders>
              <w:top w:val="single" w:sz="4" w:space="0" w:color="auto"/>
              <w:left w:val="nil"/>
              <w:bottom w:val="single" w:sz="4" w:space="0" w:color="auto"/>
              <w:right w:val="single" w:sz="4" w:space="0" w:color="auto"/>
            </w:tcBorders>
            <w:shd w:val="clear" w:color="auto" w:fill="auto"/>
            <w:vAlign w:val="center"/>
          </w:tcPr>
          <w:p w14:paraId="503934EC" w14:textId="5F95B574" w:rsidR="00504805" w:rsidRPr="000531F6" w:rsidRDefault="00504805" w:rsidP="00C1412F">
            <w:pPr>
              <w:spacing w:after="0" w:line="240" w:lineRule="auto"/>
              <w:jc w:val="center"/>
              <w:rPr>
                <w:rFonts w:ascii="Arial" w:eastAsia="Times New Roman" w:hAnsi="Arial" w:cs="Arial"/>
                <w:color w:val="000000"/>
                <w:sz w:val="24"/>
                <w:szCs w:val="24"/>
                <w:lang w:eastAsia="pl-PL"/>
              </w:rPr>
            </w:pPr>
            <w:r w:rsidRPr="000531F6">
              <w:rPr>
                <w:rFonts w:ascii="Arial" w:eastAsia="Times New Roman" w:hAnsi="Arial" w:cs="Arial"/>
                <w:color w:val="000000"/>
                <w:sz w:val="24"/>
                <w:szCs w:val="24"/>
                <w:lang w:eastAsia="pl-PL"/>
              </w:rPr>
              <w:t>Łózko bariatryczne</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B028C3" w14:textId="0D5F0201" w:rsidR="00504805" w:rsidRPr="000531F6" w:rsidRDefault="00504805" w:rsidP="00575B99">
            <w:pPr>
              <w:spacing w:after="0" w:line="240" w:lineRule="auto"/>
              <w:jc w:val="right"/>
              <w:rPr>
                <w:rFonts w:ascii="Arial" w:eastAsia="Times New Roman" w:hAnsi="Arial" w:cs="Arial"/>
                <w:color w:val="000000"/>
                <w:sz w:val="24"/>
                <w:szCs w:val="24"/>
                <w:lang w:eastAsia="pl-PL"/>
              </w:rPr>
            </w:pPr>
            <w:r w:rsidRPr="000531F6">
              <w:rPr>
                <w:rFonts w:ascii="Arial" w:eastAsia="Times New Roman" w:hAnsi="Arial" w:cs="Arial"/>
                <w:color w:val="000000"/>
                <w:sz w:val="24"/>
                <w:szCs w:val="24"/>
                <w:lang w:eastAsia="pl-PL"/>
              </w:rPr>
              <w:t>3</w:t>
            </w:r>
          </w:p>
        </w:tc>
        <w:tc>
          <w:tcPr>
            <w:tcW w:w="9822" w:type="dxa"/>
            <w:tcBorders>
              <w:top w:val="single" w:sz="4" w:space="0" w:color="auto"/>
              <w:left w:val="nil"/>
              <w:bottom w:val="single" w:sz="4" w:space="0" w:color="auto"/>
              <w:right w:val="single" w:sz="4" w:space="0" w:color="auto"/>
            </w:tcBorders>
            <w:shd w:val="clear" w:color="auto" w:fill="auto"/>
            <w:vAlign w:val="bottom"/>
          </w:tcPr>
          <w:p w14:paraId="4D9BDC15" w14:textId="6EA28C7E" w:rsidR="008162FC" w:rsidRPr="000531F6" w:rsidRDefault="008162FC" w:rsidP="008162FC">
            <w:pPr>
              <w:pStyle w:val="Textbody"/>
              <w:spacing w:after="0"/>
              <w:rPr>
                <w:rFonts w:ascii="Arial" w:eastAsiaTheme="minorHAnsi" w:hAnsi="Arial"/>
                <w:kern w:val="0"/>
                <w:lang w:eastAsia="en-US" w:bidi="ar-SA"/>
              </w:rPr>
            </w:pPr>
            <w:r w:rsidRPr="000531F6">
              <w:rPr>
                <w:rFonts w:ascii="Arial" w:eastAsiaTheme="minorHAnsi" w:hAnsi="Arial"/>
                <w:kern w:val="0"/>
                <w:lang w:eastAsia="en-US" w:bidi="ar-SA"/>
              </w:rPr>
              <w:t>Łózko sterowane elektrycznie, zasilane 230V 50/60Hz. Łóżko wytworzone w technologii antybakteryjnej Szerokoś</w:t>
            </w:r>
            <w:r w:rsidR="00102206" w:rsidRPr="000531F6">
              <w:rPr>
                <w:rFonts w:ascii="Arial" w:eastAsiaTheme="minorHAnsi" w:hAnsi="Arial"/>
                <w:kern w:val="0"/>
                <w:lang w:eastAsia="en-US" w:bidi="ar-SA"/>
              </w:rPr>
              <w:t>ć</w:t>
            </w:r>
            <w:r w:rsidRPr="000531F6">
              <w:rPr>
                <w:rFonts w:ascii="Arial" w:eastAsiaTheme="minorHAnsi" w:hAnsi="Arial"/>
                <w:kern w:val="0"/>
                <w:lang w:eastAsia="en-US" w:bidi="ar-SA"/>
              </w:rPr>
              <w:t xml:space="preserve"> całkowita łóżka z podniesionymi lub opuszczonymi poręczami bocznymi max. 1000mm. całkowita długość łózka max. 2160 mm. Wewnętrzna długośc</w:t>
            </w:r>
            <w:r w:rsidR="00102206" w:rsidRPr="000531F6">
              <w:rPr>
                <w:rFonts w:ascii="Arial" w:eastAsiaTheme="minorHAnsi" w:hAnsi="Arial"/>
                <w:kern w:val="0"/>
                <w:lang w:eastAsia="en-US" w:bidi="ar-SA"/>
              </w:rPr>
              <w:t>i</w:t>
            </w:r>
            <w:r w:rsidRPr="000531F6">
              <w:rPr>
                <w:rFonts w:ascii="Arial" w:eastAsiaTheme="minorHAnsi" w:hAnsi="Arial"/>
                <w:kern w:val="0"/>
                <w:lang w:eastAsia="en-US" w:bidi="ar-SA"/>
              </w:rPr>
              <w:t xml:space="preserve"> leża (pomiędzy szczytami) 2000 mm +/- 20 mm. Wewnętrzna szerokość leża (pomiędzy poręczami) 900mm +/- 20 mm.</w:t>
            </w:r>
            <w:r w:rsidR="00102206" w:rsidRPr="000531F6">
              <w:rPr>
                <w:rFonts w:ascii="Arial" w:eastAsiaTheme="minorHAnsi" w:hAnsi="Arial"/>
                <w:kern w:val="0"/>
                <w:lang w:eastAsia="en-US" w:bidi="ar-SA"/>
              </w:rPr>
              <w:t xml:space="preserve"> Rę</w:t>
            </w:r>
            <w:r w:rsidRPr="000531F6">
              <w:rPr>
                <w:rFonts w:ascii="Arial" w:eastAsiaTheme="minorHAnsi" w:hAnsi="Arial"/>
                <w:kern w:val="0"/>
                <w:lang w:eastAsia="en-US" w:bidi="ar-SA"/>
              </w:rPr>
              <w:t>czny pilot przewodowy sterujący następującymi funkcjami łóżka: zmiana wysokości leża, pochylenie oparcia pleców, pochylenie segmentu udowego, funkcja autokontur. Pilot ze świetlnym wskaźnikiem sygnalizującym uruchomienie danej funkcji. Łóżko wielofunkcyjne, wielopozycyjne z funkcją pozycji krzesła kardiologicznego. Łoże łóżka podparte na konstrukcji pantografowej, czterosegmentowe, z trzema segmentam</w:t>
            </w:r>
            <w:r w:rsidR="00102206" w:rsidRPr="000531F6">
              <w:rPr>
                <w:rFonts w:ascii="Arial" w:eastAsiaTheme="minorHAnsi" w:hAnsi="Arial"/>
                <w:kern w:val="0"/>
                <w:lang w:eastAsia="en-US" w:bidi="ar-SA"/>
              </w:rPr>
              <w:t>i ruchomymi. Leże bez ramy zewnę</w:t>
            </w:r>
            <w:r w:rsidRPr="000531F6">
              <w:rPr>
                <w:rFonts w:ascii="Arial" w:eastAsiaTheme="minorHAnsi" w:hAnsi="Arial"/>
                <w:kern w:val="0"/>
                <w:lang w:eastAsia="en-US" w:bidi="ar-SA"/>
              </w:rPr>
              <w:t>trzne</w:t>
            </w:r>
            <w:r w:rsidR="00102206" w:rsidRPr="000531F6">
              <w:rPr>
                <w:rFonts w:ascii="Arial" w:eastAsiaTheme="minorHAnsi" w:hAnsi="Arial"/>
                <w:kern w:val="0"/>
                <w:lang w:eastAsia="en-US" w:bidi="ar-SA"/>
              </w:rPr>
              <w:t>j, elektryczna regulacja wysokoś</w:t>
            </w:r>
            <w:r w:rsidRPr="000531F6">
              <w:rPr>
                <w:rFonts w:ascii="Arial" w:eastAsiaTheme="minorHAnsi" w:hAnsi="Arial"/>
                <w:kern w:val="0"/>
                <w:lang w:eastAsia="en-US" w:bidi="ar-SA"/>
              </w:rPr>
              <w:t>ci leża, min wysoko</w:t>
            </w:r>
            <w:r w:rsidR="00102206" w:rsidRPr="000531F6">
              <w:rPr>
                <w:rFonts w:ascii="Arial" w:eastAsiaTheme="minorHAnsi" w:hAnsi="Arial"/>
                <w:kern w:val="0"/>
                <w:lang w:eastAsia="en-US" w:bidi="ar-SA"/>
              </w:rPr>
              <w:t>ść</w:t>
            </w:r>
            <w:r w:rsidRPr="000531F6">
              <w:rPr>
                <w:rFonts w:ascii="Arial" w:eastAsiaTheme="minorHAnsi" w:hAnsi="Arial"/>
                <w:kern w:val="0"/>
                <w:lang w:eastAsia="en-US" w:bidi="ar-SA"/>
              </w:rPr>
              <w:t xml:space="preserve"> leża od podłogi 400 mm +/- 20 mm. wymiar dotyczy powierzchni, na której spoczywa materac. Maksymalna wysokość leża od podłogi 850 mm +/- 20 mm. Wymiar dotyczy powierzchni, na której spoczywa materac. Elektryczna regulacja oparcia pleców</w:t>
            </w:r>
            <w:r w:rsidR="0052585F" w:rsidRPr="000531F6">
              <w:rPr>
                <w:rFonts w:ascii="Arial" w:eastAsiaTheme="minorHAnsi" w:hAnsi="Arial"/>
                <w:kern w:val="0"/>
                <w:lang w:eastAsia="en-US" w:bidi="ar-SA"/>
              </w:rPr>
              <w:t xml:space="preserve">. </w:t>
            </w:r>
            <w:r w:rsidRPr="000531F6">
              <w:rPr>
                <w:rFonts w:ascii="Arial" w:eastAsiaTheme="minorHAnsi" w:hAnsi="Arial"/>
                <w:kern w:val="0"/>
                <w:lang w:eastAsia="en-US" w:bidi="ar-SA"/>
              </w:rPr>
              <w:t>Elektryczna regulacja pozycji Trendelenburga - regulacja z panelu centralnego oraz z zewnętrznych paneli wbudowanych w poręcze boczne: 16°  +/- 3° . Nie dopuszcza się innych rozwiązań, gdyż jest to funkcja antyszokowa, ratująca życie.  Elektryczna regulacja  pozycji anty-Trendelenburga regulacja z panelu centralnego oraz z z</w:t>
            </w:r>
            <w:r w:rsidR="00102206" w:rsidRPr="000531F6">
              <w:rPr>
                <w:rFonts w:ascii="Arial" w:eastAsiaTheme="minorHAnsi" w:hAnsi="Arial"/>
                <w:kern w:val="0"/>
                <w:lang w:eastAsia="en-US" w:bidi="ar-SA"/>
              </w:rPr>
              <w:t>e</w:t>
            </w:r>
            <w:r w:rsidRPr="000531F6">
              <w:rPr>
                <w:rFonts w:ascii="Arial" w:eastAsiaTheme="minorHAnsi" w:hAnsi="Arial"/>
                <w:kern w:val="0"/>
                <w:lang w:eastAsia="en-US" w:bidi="ar-SA"/>
              </w:rPr>
              <w:t xml:space="preserve">wenętrznych paneli wbudowanych w poręcze boczne:17°  +/- 3°. Elektryczna regulacja funkcji autokontur - </w:t>
            </w:r>
            <w:r w:rsidRPr="000531F6">
              <w:rPr>
                <w:rFonts w:ascii="Arial" w:eastAsiaTheme="minorHAnsi" w:hAnsi="Arial"/>
                <w:kern w:val="0"/>
                <w:lang w:eastAsia="en-US" w:bidi="ar-SA"/>
              </w:rPr>
              <w:lastRenderedPageBreak/>
              <w:t>jednoczesne uniesienia części plecakowej do 70°  +/- 3°  oraz segmentu uda do 40° +/- 3° .  Funkcja autoregresji oparcia pleców min. 120 mm. System autoregresji min. 165 mm zmniejszający ryzyko uszkodzenia kręgosłupa i szyjki kości udowej. Nie dopuszcza się autoregresji poniżej 165 mm, która zabezpiecza tylko przed wypychaniem szczytu. Następujące pozycje leża uzyskiwane automatycznie, po naciśnięciu i przytrzymaniu odpowiedniego przycisku na panelu centralnym: pozycja krzesła kardiologicznego, pozycja antyszokowa, pozycja do badań, pozycja Fowlera (jednocześnie łoże łóżka obniża wysokość, a segmenty: oparcia pleców i uda, unoszą się), pozycja zerowa (elektryczny CPR). Dodatkowe przyciski na panelu centralnym wszystkich funkcji elektrycznych (oprócz funkcji ratunkowych) przy pomocy odpowiednich przycisków lub pokręteł.</w:t>
            </w:r>
            <w:r w:rsidR="0052585F" w:rsidRPr="000531F6">
              <w:rPr>
                <w:rFonts w:ascii="Arial" w:eastAsiaTheme="minorHAnsi" w:hAnsi="Arial"/>
                <w:kern w:val="0"/>
                <w:lang w:eastAsia="en-US" w:bidi="ar-SA"/>
              </w:rPr>
              <w:t xml:space="preserve"> Panel wypos</w:t>
            </w:r>
            <w:r w:rsidRPr="000531F6">
              <w:rPr>
                <w:rFonts w:ascii="Arial" w:eastAsiaTheme="minorHAnsi" w:hAnsi="Arial"/>
                <w:kern w:val="0"/>
                <w:lang w:eastAsia="en-US" w:bidi="ar-SA"/>
              </w:rPr>
              <w:t>ażony w diodową sygnalizację o zablokowaniu wszystkich funkcji.</w:t>
            </w:r>
          </w:p>
          <w:p w14:paraId="6F56F3EF" w14:textId="5B8AAD43" w:rsidR="008162FC" w:rsidRPr="000531F6" w:rsidRDefault="0052585F" w:rsidP="008162FC">
            <w:pPr>
              <w:pStyle w:val="Textbody"/>
              <w:spacing w:after="0"/>
              <w:rPr>
                <w:rFonts w:ascii="Arial" w:eastAsiaTheme="minorHAnsi" w:hAnsi="Arial"/>
                <w:kern w:val="0"/>
                <w:lang w:eastAsia="en-US" w:bidi="ar-SA"/>
              </w:rPr>
            </w:pPr>
            <w:r w:rsidRPr="000531F6">
              <w:rPr>
                <w:rFonts w:ascii="Arial" w:eastAsiaTheme="minorHAnsi" w:hAnsi="Arial"/>
                <w:kern w:val="0"/>
                <w:lang w:eastAsia="en-US" w:bidi="ar-SA"/>
              </w:rPr>
              <w:t>Segment podudzia regulowany z</w:t>
            </w:r>
            <w:r w:rsidR="008162FC" w:rsidRPr="000531F6">
              <w:rPr>
                <w:rFonts w:ascii="Arial" w:eastAsiaTheme="minorHAnsi" w:hAnsi="Arial"/>
                <w:kern w:val="0"/>
                <w:lang w:eastAsia="en-US" w:bidi="ar-SA"/>
              </w:rPr>
              <w:t>a</w:t>
            </w:r>
            <w:r w:rsidRPr="000531F6">
              <w:rPr>
                <w:rFonts w:ascii="Arial" w:eastAsiaTheme="minorHAnsi" w:hAnsi="Arial"/>
                <w:kern w:val="0"/>
                <w:lang w:eastAsia="en-US" w:bidi="ar-SA"/>
              </w:rPr>
              <w:t xml:space="preserve"> </w:t>
            </w:r>
            <w:r w:rsidR="008162FC" w:rsidRPr="000531F6">
              <w:rPr>
                <w:rFonts w:ascii="Arial" w:eastAsiaTheme="minorHAnsi" w:hAnsi="Arial"/>
                <w:kern w:val="0"/>
                <w:lang w:eastAsia="en-US" w:bidi="ar-SA"/>
              </w:rPr>
              <w:t>pomocą mechanizmu zapadkowego. Poręcze boczne tworzywowe, podwójne, wytworzone z tworzywa z użyciem technologii powodującej hamowanie namnażania się bakterii i wirusów. Poręcze boczne w części oparcia pleców wyposażone w obustronne panele sterowania - zewnętrzne (od strony personelu) oraz wewnętrzne (od strony pacjenta). poręcze boczne zabezpieczające  pacjenta na całej długości leża. Zwolnienie i opuszczenie każdej poręczy dokonywane są tą samą, jedną ręką.  Główna powierzchnia poręczy bocznych w części udowej (po ich opuszczeniu) nie wystająca ponda górną płaszczyznę materaca, aby wyeliminować ucisk na mięśnie i tętnice ud pacjenta.  Wbudowany akumulator wykorzystywany do sterowania funkcjami łóżka w przypadku zaniku zasilania lub w przypadku przewożenia pacjenta.  Konstrukcja łóżka wykonana ze stali węglowej lakierowanej proszkowo z użyciem lakie</w:t>
            </w:r>
            <w:r w:rsidR="00A1326C" w:rsidRPr="000531F6">
              <w:rPr>
                <w:rFonts w:ascii="Arial" w:eastAsiaTheme="minorHAnsi" w:hAnsi="Arial"/>
                <w:kern w:val="0"/>
                <w:lang w:eastAsia="en-US" w:bidi="ar-SA"/>
              </w:rPr>
              <w:t>r</w:t>
            </w:r>
            <w:r w:rsidR="008162FC" w:rsidRPr="000531F6">
              <w:rPr>
                <w:rFonts w:ascii="Arial" w:eastAsiaTheme="minorHAnsi" w:hAnsi="Arial"/>
                <w:kern w:val="0"/>
                <w:lang w:eastAsia="en-US" w:bidi="ar-SA"/>
              </w:rPr>
              <w:t>u z nanotechnologią srebra powodującą hamowanie namnażania bakterii i wirusów. dodatki antybakteryjne muszą</w:t>
            </w:r>
            <w:r w:rsidR="00A1326C" w:rsidRPr="000531F6">
              <w:rPr>
                <w:rFonts w:ascii="Arial" w:eastAsiaTheme="minorHAnsi" w:hAnsi="Arial"/>
                <w:kern w:val="0"/>
                <w:lang w:eastAsia="en-US" w:bidi="ar-SA"/>
              </w:rPr>
              <w:t xml:space="preserve"> być integralną zawartością skła</w:t>
            </w:r>
            <w:r w:rsidR="008162FC" w:rsidRPr="000531F6">
              <w:rPr>
                <w:rFonts w:ascii="Arial" w:eastAsiaTheme="minorHAnsi" w:hAnsi="Arial"/>
                <w:kern w:val="0"/>
                <w:lang w:eastAsia="en-US" w:bidi="ar-SA"/>
              </w:rPr>
              <w:t>du lakie</w:t>
            </w:r>
            <w:r w:rsidR="00A1326C" w:rsidRPr="000531F6">
              <w:rPr>
                <w:rFonts w:ascii="Arial" w:eastAsiaTheme="minorHAnsi" w:hAnsi="Arial"/>
                <w:kern w:val="0"/>
                <w:lang w:eastAsia="en-US" w:bidi="ar-SA"/>
              </w:rPr>
              <w:t>r</w:t>
            </w:r>
            <w:r w:rsidR="008162FC" w:rsidRPr="000531F6">
              <w:rPr>
                <w:rFonts w:ascii="Arial" w:eastAsiaTheme="minorHAnsi" w:hAnsi="Arial"/>
                <w:kern w:val="0"/>
                <w:lang w:eastAsia="en-US" w:bidi="ar-SA"/>
              </w:rPr>
              <w:t>u.  Nie dopuszcza się, aby własności antybakteryjne były uzyskiwane poprzez  nanoszenie na powłokę lakierniczą oddzielonych środk</w:t>
            </w:r>
            <w:r w:rsidR="00A1326C" w:rsidRPr="000531F6">
              <w:rPr>
                <w:rFonts w:ascii="Arial" w:eastAsiaTheme="minorHAnsi" w:hAnsi="Arial"/>
                <w:kern w:val="0"/>
                <w:lang w:eastAsia="en-US" w:bidi="ar-SA"/>
              </w:rPr>
              <w:t>ów. Segmenty leża wypełnione od</w:t>
            </w:r>
            <w:r w:rsidR="008162FC" w:rsidRPr="000531F6">
              <w:rPr>
                <w:rFonts w:ascii="Arial" w:eastAsiaTheme="minorHAnsi" w:hAnsi="Arial"/>
                <w:kern w:val="0"/>
                <w:lang w:eastAsia="en-US" w:bidi="ar-SA"/>
              </w:rPr>
              <w:t>ejmowanymi płytami laminatowymi, pr</w:t>
            </w:r>
            <w:r w:rsidR="0022193B" w:rsidRPr="000531F6">
              <w:rPr>
                <w:rFonts w:ascii="Arial" w:eastAsiaTheme="minorHAnsi" w:hAnsi="Arial"/>
                <w:kern w:val="0"/>
                <w:lang w:eastAsia="en-US" w:bidi="ar-SA"/>
              </w:rPr>
              <w:t>z</w:t>
            </w:r>
            <w:r w:rsidR="008162FC" w:rsidRPr="000531F6">
              <w:rPr>
                <w:rFonts w:ascii="Arial" w:eastAsiaTheme="minorHAnsi" w:hAnsi="Arial"/>
                <w:kern w:val="0"/>
                <w:lang w:eastAsia="en-US" w:bidi="ar-SA"/>
              </w:rPr>
              <w:t>eziernymi dla promieniowania RTG. Segment oparcia pleców z możliwością</w:t>
            </w:r>
            <w:r w:rsidR="0022193B" w:rsidRPr="000531F6">
              <w:rPr>
                <w:rFonts w:ascii="Arial" w:eastAsiaTheme="minorHAnsi" w:hAnsi="Arial"/>
                <w:kern w:val="0"/>
                <w:lang w:eastAsia="en-US" w:bidi="ar-SA"/>
              </w:rPr>
              <w:t xml:space="preserve"> </w:t>
            </w:r>
            <w:r w:rsidR="008162FC" w:rsidRPr="000531F6">
              <w:rPr>
                <w:rFonts w:ascii="Arial" w:eastAsiaTheme="minorHAnsi" w:hAnsi="Arial"/>
                <w:kern w:val="0"/>
                <w:lang w:eastAsia="en-US" w:bidi="ar-SA"/>
              </w:rPr>
              <w:t xml:space="preserve">szybkiego poziomowania  (CPR) z obu stron leża. 4 koła o średnicy min. 150 mm zaopatrzone w mechanizm </w:t>
            </w:r>
            <w:r w:rsidR="008162FC" w:rsidRPr="000531F6">
              <w:rPr>
                <w:rFonts w:ascii="Arial" w:eastAsiaTheme="minorHAnsi" w:hAnsi="Arial"/>
                <w:kern w:val="0"/>
                <w:lang w:eastAsia="en-US" w:bidi="ar-SA"/>
              </w:rPr>
              <w:lastRenderedPageBreak/>
              <w:t>centralnej blokady. Koła z tworzywowymi osłonami (widoczny tylko bie</w:t>
            </w:r>
            <w:r w:rsidR="00A1326C" w:rsidRPr="000531F6">
              <w:rPr>
                <w:rFonts w:ascii="Arial" w:eastAsiaTheme="minorHAnsi" w:hAnsi="Arial"/>
                <w:kern w:val="0"/>
                <w:lang w:eastAsia="en-US" w:bidi="ar-SA"/>
              </w:rPr>
              <w:t>ż</w:t>
            </w:r>
            <w:r w:rsidR="008162FC" w:rsidRPr="000531F6">
              <w:rPr>
                <w:rFonts w:ascii="Arial" w:eastAsiaTheme="minorHAnsi" w:hAnsi="Arial"/>
                <w:kern w:val="0"/>
                <w:lang w:eastAsia="en-US" w:bidi="ar-SA"/>
              </w:rPr>
              <w:t>nik). dźwignie uruchamiające centralną blokadę kół umieszczone w dwóch narożach ramy podwozia łó</w:t>
            </w:r>
            <w:r w:rsidR="00A1326C" w:rsidRPr="000531F6">
              <w:rPr>
                <w:rFonts w:ascii="Arial" w:eastAsiaTheme="minorHAnsi" w:hAnsi="Arial"/>
                <w:kern w:val="0"/>
                <w:lang w:eastAsia="en-US" w:bidi="ar-SA"/>
              </w:rPr>
              <w:t xml:space="preserve">żka od </w:t>
            </w:r>
            <w:r w:rsidR="008162FC" w:rsidRPr="000531F6">
              <w:rPr>
                <w:rFonts w:ascii="Arial" w:eastAsiaTheme="minorHAnsi" w:hAnsi="Arial"/>
                <w:kern w:val="0"/>
                <w:lang w:eastAsia="en-US" w:bidi="ar-SA"/>
              </w:rPr>
              <w:t>strony nóg pacjenta. Funkcja jazdy na wprost i łatwego manewrowania.</w:t>
            </w:r>
          </w:p>
          <w:p w14:paraId="75D8FDA6" w14:textId="61374E38" w:rsidR="008162FC" w:rsidRPr="000531F6" w:rsidRDefault="008162FC" w:rsidP="008162FC">
            <w:pPr>
              <w:pStyle w:val="Textbody"/>
              <w:spacing w:after="0"/>
              <w:rPr>
                <w:rFonts w:ascii="Arial" w:eastAsiaTheme="minorHAnsi" w:hAnsi="Arial"/>
                <w:kern w:val="0"/>
                <w:lang w:eastAsia="en-US" w:bidi="ar-SA"/>
              </w:rPr>
            </w:pPr>
            <w:r w:rsidRPr="000531F6">
              <w:rPr>
                <w:rFonts w:ascii="Arial" w:eastAsiaTheme="minorHAnsi" w:hAnsi="Arial"/>
                <w:kern w:val="0"/>
                <w:lang w:eastAsia="en-US" w:bidi="ar-SA"/>
              </w:rPr>
              <w:t xml:space="preserve">Prześwit pod podwoziem o wysokości min. 145 mm i na </w:t>
            </w:r>
            <w:r w:rsidR="00A1326C" w:rsidRPr="000531F6">
              <w:rPr>
                <w:rFonts w:ascii="Arial" w:eastAsiaTheme="minorHAnsi" w:hAnsi="Arial"/>
                <w:kern w:val="0"/>
                <w:lang w:eastAsia="en-US" w:bidi="ar-SA"/>
              </w:rPr>
              <w:t>długości min 1500 mm, aby umożl</w:t>
            </w:r>
            <w:r w:rsidRPr="000531F6">
              <w:rPr>
                <w:rFonts w:ascii="Arial" w:eastAsiaTheme="minorHAnsi" w:hAnsi="Arial"/>
                <w:kern w:val="0"/>
                <w:lang w:eastAsia="en-US" w:bidi="ar-SA"/>
              </w:rPr>
              <w:t>iwić swobodny naj</w:t>
            </w:r>
            <w:r w:rsidR="00A1326C" w:rsidRPr="000531F6">
              <w:rPr>
                <w:rFonts w:ascii="Arial" w:eastAsiaTheme="minorHAnsi" w:hAnsi="Arial"/>
                <w:kern w:val="0"/>
                <w:lang w:eastAsia="en-US" w:bidi="ar-SA"/>
              </w:rPr>
              <w:t>a</w:t>
            </w:r>
            <w:r w:rsidRPr="000531F6">
              <w:rPr>
                <w:rFonts w:ascii="Arial" w:eastAsiaTheme="minorHAnsi" w:hAnsi="Arial"/>
                <w:kern w:val="0"/>
                <w:lang w:eastAsia="en-US" w:bidi="ar-SA"/>
              </w:rPr>
              <w:t xml:space="preserve">zd podnośnika chorego. Szczyty łóżka wyjmowane z gniazd ramy leża, tworzywowe wytworzone z tworzywa z użyciem technologii powodującej hamowanie namnażania się bakterii i wirusów.  </w:t>
            </w:r>
          </w:p>
          <w:p w14:paraId="2A189151" w14:textId="2F78011F" w:rsidR="00504805" w:rsidRPr="000531F6" w:rsidRDefault="0022193B" w:rsidP="008162FC">
            <w:pPr>
              <w:pStyle w:val="Textbody"/>
              <w:spacing w:after="0"/>
              <w:rPr>
                <w:rFonts w:ascii="Arial" w:eastAsiaTheme="minorHAnsi" w:hAnsi="Arial"/>
                <w:kern w:val="0"/>
                <w:lang w:eastAsia="en-US" w:bidi="ar-SA"/>
              </w:rPr>
            </w:pPr>
            <w:r w:rsidRPr="000531F6">
              <w:rPr>
                <w:rFonts w:ascii="Arial" w:eastAsiaTheme="minorHAnsi" w:hAnsi="Arial"/>
                <w:kern w:val="0"/>
                <w:lang w:eastAsia="en-US" w:bidi="ar-SA"/>
              </w:rPr>
              <w:t>Rama leża wyposażona w: krąż</w:t>
            </w:r>
            <w:r w:rsidR="008162FC" w:rsidRPr="000531F6">
              <w:rPr>
                <w:rFonts w:ascii="Arial" w:eastAsiaTheme="minorHAnsi" w:hAnsi="Arial"/>
                <w:kern w:val="0"/>
                <w:lang w:eastAsia="en-US" w:bidi="ar-SA"/>
              </w:rPr>
              <w:t>ki odbojowe w narożach leża, swożeń wyrównania potencjału, poziomnice, po jednej sztuce na obu bokach leża, w okolicy szczytu nóg, cztery haczyki do zawieszania np. woreczków na płyny fizjologiczne - po dwa haczyki z dwóch stron leża.</w:t>
            </w:r>
            <w:r w:rsidRPr="000531F6">
              <w:rPr>
                <w:rFonts w:ascii="Arial" w:eastAsiaTheme="minorHAnsi" w:hAnsi="Arial"/>
                <w:kern w:val="0"/>
                <w:lang w:eastAsia="en-US" w:bidi="ar-SA"/>
              </w:rPr>
              <w:t xml:space="preserve"> </w:t>
            </w:r>
            <w:r w:rsidR="008162FC" w:rsidRPr="000531F6">
              <w:rPr>
                <w:rFonts w:ascii="Arial" w:eastAsiaTheme="minorHAnsi" w:hAnsi="Arial"/>
                <w:kern w:val="0"/>
                <w:lang w:eastAsia="en-US" w:bidi="ar-SA"/>
              </w:rPr>
              <w:t>Możliwość  montażu wieszaka kroplówki w czterech narożach ramy leża. Dopuszczalne obciążenie robocze min 250 kg. Elementy wyposażenia łóżka: materac o grubości 120 mm w tkaninie nieprzemakalnej, paraprzepuszczalnej, antybakt</w:t>
            </w:r>
            <w:r w:rsidRPr="000531F6">
              <w:rPr>
                <w:rFonts w:ascii="Arial" w:eastAsiaTheme="minorHAnsi" w:hAnsi="Arial"/>
                <w:kern w:val="0"/>
                <w:lang w:eastAsia="en-US" w:bidi="ar-SA"/>
              </w:rPr>
              <w:t>e</w:t>
            </w:r>
            <w:r w:rsidR="008162FC" w:rsidRPr="000531F6">
              <w:rPr>
                <w:rFonts w:ascii="Arial" w:eastAsiaTheme="minorHAnsi" w:hAnsi="Arial"/>
                <w:kern w:val="0"/>
                <w:lang w:eastAsia="en-US" w:bidi="ar-SA"/>
              </w:rPr>
              <w:t>ryjnej, trudnopalnej, antyalergicznej, nieprzenikalnej dla roztoczy, dostosowany wymiarowo do łóżka - 1 szt., materac wypełniający przedłużenie leża - 1 szt., poręcze boczne tworzywowe, dzielone - 1 kpl. Powierzchnie łóżka odporne na środki dezynfekcyjne. Dokumenty (raporty techniczne, karty charakterystyki itp.) potwierdzające antybakteryjność lakieru i tworzywa (dołączyć do oferty).</w:t>
            </w:r>
            <w:r w:rsidR="0052585F" w:rsidRPr="000531F6">
              <w:rPr>
                <w:rFonts w:ascii="Arial" w:eastAsiaTheme="minorHAnsi" w:hAnsi="Arial"/>
                <w:kern w:val="0"/>
                <w:lang w:eastAsia="en-US" w:bidi="ar-SA"/>
              </w:rPr>
              <w:t xml:space="preserve"> Instrukcja w języku polskim. Gwarancja 24 miesiące.</w:t>
            </w:r>
          </w:p>
        </w:tc>
      </w:tr>
      <w:tr w:rsidR="00504805" w:rsidRPr="000531F6" w14:paraId="4B4B815D" w14:textId="77777777" w:rsidTr="00570BF0">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14:paraId="2074E00E" w14:textId="62F7CC2A" w:rsidR="00504805" w:rsidRPr="000531F6" w:rsidRDefault="00504805" w:rsidP="00570BF0">
            <w:pPr>
              <w:spacing w:after="0" w:line="240" w:lineRule="auto"/>
              <w:jc w:val="center"/>
              <w:rPr>
                <w:rFonts w:ascii="Arial" w:eastAsia="Times New Roman" w:hAnsi="Arial" w:cs="Arial"/>
                <w:color w:val="000000"/>
                <w:sz w:val="24"/>
                <w:szCs w:val="24"/>
                <w:lang w:eastAsia="pl-PL"/>
              </w:rPr>
            </w:pPr>
            <w:r w:rsidRPr="000531F6">
              <w:rPr>
                <w:rFonts w:ascii="Arial" w:eastAsia="Times New Roman" w:hAnsi="Arial" w:cs="Arial"/>
                <w:color w:val="000000"/>
                <w:sz w:val="24"/>
                <w:szCs w:val="24"/>
                <w:lang w:eastAsia="pl-PL"/>
              </w:rPr>
              <w:lastRenderedPageBreak/>
              <w:t>10.</w:t>
            </w:r>
          </w:p>
        </w:tc>
        <w:tc>
          <w:tcPr>
            <w:tcW w:w="2386" w:type="dxa"/>
            <w:tcBorders>
              <w:top w:val="single" w:sz="4" w:space="0" w:color="auto"/>
              <w:left w:val="nil"/>
              <w:bottom w:val="single" w:sz="4" w:space="0" w:color="auto"/>
              <w:right w:val="single" w:sz="4" w:space="0" w:color="auto"/>
            </w:tcBorders>
            <w:shd w:val="clear" w:color="auto" w:fill="auto"/>
            <w:vAlign w:val="center"/>
          </w:tcPr>
          <w:p w14:paraId="3EC440DE" w14:textId="2C345152" w:rsidR="00504805" w:rsidRPr="000531F6" w:rsidRDefault="00504805" w:rsidP="00C1412F">
            <w:pPr>
              <w:spacing w:after="0" w:line="240" w:lineRule="auto"/>
              <w:jc w:val="center"/>
              <w:rPr>
                <w:rFonts w:ascii="Arial" w:eastAsia="Times New Roman" w:hAnsi="Arial" w:cs="Arial"/>
                <w:color w:val="000000"/>
                <w:sz w:val="24"/>
                <w:szCs w:val="24"/>
                <w:lang w:eastAsia="pl-PL"/>
              </w:rPr>
            </w:pPr>
            <w:r w:rsidRPr="000531F6">
              <w:rPr>
                <w:rFonts w:ascii="Arial" w:eastAsia="Times New Roman" w:hAnsi="Arial" w:cs="Arial"/>
                <w:color w:val="000000"/>
                <w:sz w:val="24"/>
                <w:szCs w:val="24"/>
                <w:lang w:eastAsia="pl-PL"/>
              </w:rPr>
              <w:t>Wózki do transportu pacjentów</w:t>
            </w:r>
          </w:p>
        </w:tc>
        <w:tc>
          <w:tcPr>
            <w:tcW w:w="1276" w:type="dxa"/>
            <w:tcBorders>
              <w:top w:val="single" w:sz="4" w:space="0" w:color="auto"/>
              <w:left w:val="nil"/>
              <w:bottom w:val="single" w:sz="4" w:space="0" w:color="auto"/>
              <w:right w:val="single" w:sz="4" w:space="0" w:color="auto"/>
            </w:tcBorders>
            <w:shd w:val="clear" w:color="auto" w:fill="auto"/>
            <w:vAlign w:val="bottom"/>
          </w:tcPr>
          <w:p w14:paraId="09F95EF1" w14:textId="6E2083D0" w:rsidR="00504805" w:rsidRPr="009065D3" w:rsidRDefault="00504805" w:rsidP="00575B99">
            <w:pPr>
              <w:spacing w:after="0" w:line="240" w:lineRule="auto"/>
              <w:jc w:val="right"/>
              <w:rPr>
                <w:rFonts w:ascii="Arial" w:eastAsia="Times New Roman" w:hAnsi="Arial" w:cs="Arial"/>
                <w:color w:val="000000"/>
                <w:sz w:val="24"/>
                <w:szCs w:val="24"/>
                <w:lang w:eastAsia="pl-PL"/>
              </w:rPr>
            </w:pPr>
            <w:r w:rsidRPr="009065D3">
              <w:rPr>
                <w:rFonts w:ascii="Arial" w:eastAsia="Times New Roman" w:hAnsi="Arial" w:cs="Arial"/>
                <w:color w:val="000000"/>
                <w:sz w:val="24"/>
                <w:szCs w:val="24"/>
                <w:lang w:eastAsia="pl-PL"/>
              </w:rPr>
              <w:t>3</w:t>
            </w:r>
          </w:p>
        </w:tc>
        <w:tc>
          <w:tcPr>
            <w:tcW w:w="9822" w:type="dxa"/>
            <w:tcBorders>
              <w:top w:val="single" w:sz="4" w:space="0" w:color="auto"/>
              <w:left w:val="nil"/>
              <w:bottom w:val="single" w:sz="4" w:space="0" w:color="auto"/>
              <w:right w:val="single" w:sz="4" w:space="0" w:color="auto"/>
            </w:tcBorders>
            <w:shd w:val="clear" w:color="auto" w:fill="auto"/>
            <w:vAlign w:val="bottom"/>
          </w:tcPr>
          <w:p w14:paraId="02E3CC3C" w14:textId="77777777" w:rsidR="009065D3" w:rsidRPr="009065D3" w:rsidRDefault="009065D3" w:rsidP="009065D3">
            <w:pPr>
              <w:rPr>
                <w:rFonts w:ascii="Arial" w:hAnsi="Arial" w:cs="Arial"/>
                <w:sz w:val="24"/>
                <w:szCs w:val="24"/>
              </w:rPr>
            </w:pPr>
            <w:r w:rsidRPr="009065D3">
              <w:rPr>
                <w:rFonts w:ascii="Arial" w:hAnsi="Arial" w:cs="Arial"/>
                <w:sz w:val="24"/>
                <w:szCs w:val="24"/>
              </w:rPr>
              <w:t>Składany, hamulce dla osoby towarzyszącej, miękkie podłokietniki, płyty podnóżka z regulowanym kątem, pas zabezpieczający przed zsuwaniem się,  stopka po nogę do przechylania wózka, kieszeń na oparciu, łamane oparcie, uchwyty po obu stronach siedziska do przenoszenia wózka, materiał zapewniający wentylację minimalny promień skrętu: 150 cm, wytrzymałość: 120 kg, waga wózka do 20 kg, głębokość siedziska ok 45 cm, szerokość ok 40-50cm, regulowany podnóżek, koła tylne pompowane, aluminiowa rama,</w:t>
            </w:r>
          </w:p>
          <w:p w14:paraId="3EBBF24E" w14:textId="2C14CAAE" w:rsidR="00504805" w:rsidRPr="009065D3" w:rsidRDefault="009065D3" w:rsidP="00E90701">
            <w:pPr>
              <w:pStyle w:val="Textbody"/>
              <w:spacing w:after="0"/>
              <w:rPr>
                <w:rFonts w:ascii="Arial" w:eastAsiaTheme="minorHAnsi" w:hAnsi="Arial"/>
                <w:kern w:val="0"/>
                <w:lang w:eastAsia="en-US" w:bidi="ar-SA"/>
              </w:rPr>
            </w:pPr>
            <w:r w:rsidRPr="009065D3">
              <w:rPr>
                <w:rFonts w:ascii="Arial" w:eastAsiaTheme="minorHAnsi" w:hAnsi="Arial"/>
                <w:kern w:val="0"/>
                <w:lang w:eastAsia="en-US" w:bidi="ar-SA"/>
              </w:rPr>
              <w:t>Instrukcja w języku polski. Gwarancja 24 miesiące.</w:t>
            </w:r>
          </w:p>
        </w:tc>
      </w:tr>
    </w:tbl>
    <w:p w14:paraId="6E66E6F7" w14:textId="77777777" w:rsidR="001C2203" w:rsidRPr="000531F6" w:rsidRDefault="001C2203">
      <w:pPr>
        <w:rPr>
          <w:rFonts w:ascii="Arial" w:hAnsi="Arial" w:cs="Arial"/>
          <w:sz w:val="24"/>
          <w:szCs w:val="24"/>
        </w:rPr>
      </w:pPr>
    </w:p>
    <w:sectPr w:rsidR="001C2203" w:rsidRPr="000531F6" w:rsidSect="0078106E">
      <w:headerReference w:type="first" r:id="rId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CF5AE" w14:textId="77777777" w:rsidR="00A31F71" w:rsidRDefault="00A31F71" w:rsidP="008D49E1">
      <w:pPr>
        <w:spacing w:after="0" w:line="240" w:lineRule="auto"/>
      </w:pPr>
      <w:r>
        <w:separator/>
      </w:r>
    </w:p>
  </w:endnote>
  <w:endnote w:type="continuationSeparator" w:id="0">
    <w:p w14:paraId="01D9C449" w14:textId="77777777" w:rsidR="00A31F71" w:rsidRDefault="00A31F71" w:rsidP="008D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8BE8F" w14:textId="77777777" w:rsidR="00A31F71" w:rsidRDefault="00A31F71" w:rsidP="008D49E1">
      <w:pPr>
        <w:spacing w:after="0" w:line="240" w:lineRule="auto"/>
      </w:pPr>
      <w:r>
        <w:separator/>
      </w:r>
    </w:p>
  </w:footnote>
  <w:footnote w:type="continuationSeparator" w:id="0">
    <w:p w14:paraId="1D7995EF" w14:textId="77777777" w:rsidR="00A31F71" w:rsidRDefault="00A31F71" w:rsidP="008D4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 w:type="dxa"/>
      <w:tblCellMar>
        <w:left w:w="0" w:type="dxa"/>
        <w:right w:w="0" w:type="dxa"/>
      </w:tblCellMar>
      <w:tblLook w:val="04A0" w:firstRow="1" w:lastRow="0" w:firstColumn="1" w:lastColumn="0" w:noHBand="0" w:noVBand="1"/>
    </w:tblPr>
    <w:tblGrid>
      <w:gridCol w:w="2720"/>
      <w:gridCol w:w="3854"/>
      <w:gridCol w:w="3691"/>
      <w:gridCol w:w="3739"/>
    </w:tblGrid>
    <w:tr w:rsidR="004D2C9B" w:rsidRPr="00BC6FE8" w14:paraId="597D6209" w14:textId="77777777" w:rsidTr="004D2C9B">
      <w:trPr>
        <w:trHeight w:val="1357"/>
      </w:trPr>
      <w:tc>
        <w:tcPr>
          <w:tcW w:w="971" w:type="pct"/>
          <w:hideMark/>
        </w:tcPr>
        <w:p w14:paraId="1FB64880" w14:textId="77777777" w:rsidR="004D2C9B" w:rsidRPr="00BC6FE8" w:rsidRDefault="004D2C9B" w:rsidP="004D2C9B">
          <w:pPr>
            <w:rPr>
              <w:rFonts w:ascii="Calibri" w:hAnsi="Calibri"/>
              <w:noProof/>
            </w:rPr>
          </w:pPr>
          <w:r w:rsidRPr="001D2164">
            <w:rPr>
              <w:rFonts w:ascii="Calibri" w:hAnsi="Calibri"/>
              <w:noProof/>
              <w:lang w:eastAsia="pl-PL"/>
            </w:rPr>
            <w:drawing>
              <wp:inline distT="0" distB="0" distL="0" distR="0" wp14:anchorId="7C35D1FF" wp14:editId="37C60C16">
                <wp:extent cx="1024255" cy="438150"/>
                <wp:effectExtent l="0" t="0" r="4445" b="0"/>
                <wp:docPr id="3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438150"/>
                        </a:xfrm>
                        <a:prstGeom prst="rect">
                          <a:avLst/>
                        </a:prstGeom>
                        <a:noFill/>
                        <a:ln>
                          <a:noFill/>
                        </a:ln>
                      </pic:spPr>
                    </pic:pic>
                  </a:graphicData>
                </a:graphic>
              </wp:inline>
            </w:drawing>
          </w:r>
        </w:p>
      </w:tc>
      <w:tc>
        <w:tcPr>
          <w:tcW w:w="1376" w:type="pct"/>
          <w:hideMark/>
        </w:tcPr>
        <w:p w14:paraId="2F082939" w14:textId="77777777" w:rsidR="004D2C9B" w:rsidRPr="00BC6FE8" w:rsidRDefault="004D2C9B" w:rsidP="004D2C9B">
          <w:pPr>
            <w:ind w:left="-77" w:right="2"/>
            <w:jc w:val="center"/>
            <w:rPr>
              <w:rFonts w:ascii="Calibri" w:hAnsi="Calibri"/>
              <w:noProof/>
            </w:rPr>
          </w:pPr>
          <w:r w:rsidRPr="001D2164">
            <w:rPr>
              <w:rFonts w:ascii="Calibri" w:hAnsi="Calibri"/>
              <w:noProof/>
              <w:lang w:eastAsia="pl-PL"/>
            </w:rPr>
            <w:drawing>
              <wp:inline distT="0" distB="0" distL="0" distR="0" wp14:anchorId="43CA89EC" wp14:editId="4C1A0C15">
                <wp:extent cx="1409700" cy="438150"/>
                <wp:effectExtent l="0" t="0" r="0" b="0"/>
                <wp:docPr id="3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18" w:type="pct"/>
          <w:hideMark/>
        </w:tcPr>
        <w:p w14:paraId="67223790" w14:textId="77777777" w:rsidR="004D2C9B" w:rsidRPr="00BC6FE8" w:rsidRDefault="004D2C9B" w:rsidP="004D2C9B">
          <w:pPr>
            <w:ind w:right="25"/>
            <w:jc w:val="center"/>
            <w:rPr>
              <w:rFonts w:ascii="Calibri" w:hAnsi="Calibri"/>
              <w:noProof/>
            </w:rPr>
          </w:pPr>
          <w:r w:rsidRPr="001D2164">
            <w:rPr>
              <w:rFonts w:ascii="Calibri" w:hAnsi="Calibri"/>
              <w:noProof/>
              <w:lang w:eastAsia="pl-PL"/>
            </w:rPr>
            <w:drawing>
              <wp:inline distT="0" distB="0" distL="0" distR="0" wp14:anchorId="1E4E6A4E" wp14:editId="415102A9">
                <wp:extent cx="962025" cy="438150"/>
                <wp:effectExtent l="0" t="0" r="9525" b="0"/>
                <wp:docPr id="3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335" w:type="pct"/>
          <w:hideMark/>
        </w:tcPr>
        <w:p w14:paraId="26BA7092" w14:textId="77777777" w:rsidR="004D2C9B" w:rsidRPr="00BC6FE8" w:rsidRDefault="004D2C9B" w:rsidP="004D2C9B">
          <w:pPr>
            <w:jc w:val="right"/>
            <w:rPr>
              <w:rFonts w:ascii="Calibri" w:hAnsi="Calibri"/>
              <w:noProof/>
            </w:rPr>
          </w:pPr>
          <w:r w:rsidRPr="001D2164">
            <w:rPr>
              <w:rFonts w:ascii="Calibri" w:hAnsi="Calibri"/>
              <w:noProof/>
              <w:lang w:eastAsia="pl-PL"/>
            </w:rPr>
            <w:drawing>
              <wp:inline distT="0" distB="0" distL="0" distR="0" wp14:anchorId="5BDFDC71" wp14:editId="3618CD18">
                <wp:extent cx="1628775" cy="438150"/>
                <wp:effectExtent l="0" t="0" r="9525" b="0"/>
                <wp:docPr id="4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438150"/>
                        </a:xfrm>
                        <a:prstGeom prst="rect">
                          <a:avLst/>
                        </a:prstGeom>
                        <a:noFill/>
                        <a:ln>
                          <a:noFill/>
                        </a:ln>
                      </pic:spPr>
                    </pic:pic>
                  </a:graphicData>
                </a:graphic>
              </wp:inline>
            </w:drawing>
          </w:r>
        </w:p>
      </w:tc>
    </w:tr>
  </w:tbl>
  <w:p w14:paraId="3A26DAAC" w14:textId="77777777" w:rsidR="008D49E1" w:rsidRPr="008D49E1" w:rsidRDefault="008D49E1" w:rsidP="008D49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4771E"/>
    <w:multiLevelType w:val="multilevel"/>
    <w:tmpl w:val="144ADBA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AA45535"/>
    <w:multiLevelType w:val="multilevel"/>
    <w:tmpl w:val="435ED05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4D5336CD"/>
    <w:multiLevelType w:val="multilevel"/>
    <w:tmpl w:val="206C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524508"/>
    <w:multiLevelType w:val="multilevel"/>
    <w:tmpl w:val="0EE6D7E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6ED0642E"/>
    <w:multiLevelType w:val="multilevel"/>
    <w:tmpl w:val="20A6CC0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6FA30CE6"/>
    <w:multiLevelType w:val="multilevel"/>
    <w:tmpl w:val="02EE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DC6"/>
    <w:rsid w:val="000116DF"/>
    <w:rsid w:val="0003144E"/>
    <w:rsid w:val="00032DDA"/>
    <w:rsid w:val="000376F7"/>
    <w:rsid w:val="0004154C"/>
    <w:rsid w:val="000531F6"/>
    <w:rsid w:val="000A125D"/>
    <w:rsid w:val="000D2479"/>
    <w:rsid w:val="000D670C"/>
    <w:rsid w:val="00102206"/>
    <w:rsid w:val="001C2203"/>
    <w:rsid w:val="001E20F8"/>
    <w:rsid w:val="001E41EF"/>
    <w:rsid w:val="002145E0"/>
    <w:rsid w:val="00217D4E"/>
    <w:rsid w:val="0022193B"/>
    <w:rsid w:val="00223FFD"/>
    <w:rsid w:val="002B3593"/>
    <w:rsid w:val="002F13AA"/>
    <w:rsid w:val="00360696"/>
    <w:rsid w:val="003626A3"/>
    <w:rsid w:val="0040560C"/>
    <w:rsid w:val="00406383"/>
    <w:rsid w:val="00422A19"/>
    <w:rsid w:val="004B730E"/>
    <w:rsid w:val="004C7E72"/>
    <w:rsid w:val="004D2C9B"/>
    <w:rsid w:val="00504805"/>
    <w:rsid w:val="00504EBE"/>
    <w:rsid w:val="0051485B"/>
    <w:rsid w:val="0052585F"/>
    <w:rsid w:val="0054535D"/>
    <w:rsid w:val="00570BF0"/>
    <w:rsid w:val="00575B99"/>
    <w:rsid w:val="005957BF"/>
    <w:rsid w:val="005B1BAB"/>
    <w:rsid w:val="006110D2"/>
    <w:rsid w:val="006333F2"/>
    <w:rsid w:val="00660B42"/>
    <w:rsid w:val="00663DA4"/>
    <w:rsid w:val="00687A50"/>
    <w:rsid w:val="006B1902"/>
    <w:rsid w:val="00750D49"/>
    <w:rsid w:val="00777E4B"/>
    <w:rsid w:val="0078106E"/>
    <w:rsid w:val="007B1E89"/>
    <w:rsid w:val="008162FC"/>
    <w:rsid w:val="00886736"/>
    <w:rsid w:val="008B3428"/>
    <w:rsid w:val="008D49E1"/>
    <w:rsid w:val="008E32E1"/>
    <w:rsid w:val="00904199"/>
    <w:rsid w:val="009065D3"/>
    <w:rsid w:val="009450B1"/>
    <w:rsid w:val="009810D6"/>
    <w:rsid w:val="00990231"/>
    <w:rsid w:val="009C2C13"/>
    <w:rsid w:val="009C4692"/>
    <w:rsid w:val="00A1326C"/>
    <w:rsid w:val="00A31E63"/>
    <w:rsid w:val="00A31F71"/>
    <w:rsid w:val="00A40797"/>
    <w:rsid w:val="00A870DF"/>
    <w:rsid w:val="00A87DC6"/>
    <w:rsid w:val="00AA3FBC"/>
    <w:rsid w:val="00AA4EF9"/>
    <w:rsid w:val="00AB409E"/>
    <w:rsid w:val="00AD2571"/>
    <w:rsid w:val="00AD2EC9"/>
    <w:rsid w:val="00AD6483"/>
    <w:rsid w:val="00AE2C5D"/>
    <w:rsid w:val="00AE3AFB"/>
    <w:rsid w:val="00B04BE2"/>
    <w:rsid w:val="00B06A82"/>
    <w:rsid w:val="00B55ED2"/>
    <w:rsid w:val="00B7161F"/>
    <w:rsid w:val="00BD450F"/>
    <w:rsid w:val="00BE2528"/>
    <w:rsid w:val="00C1412F"/>
    <w:rsid w:val="00C317E8"/>
    <w:rsid w:val="00C53AAC"/>
    <w:rsid w:val="00C62632"/>
    <w:rsid w:val="00C83A70"/>
    <w:rsid w:val="00C85F9B"/>
    <w:rsid w:val="00D03152"/>
    <w:rsid w:val="00DB63C1"/>
    <w:rsid w:val="00DD7E0D"/>
    <w:rsid w:val="00DF4BD3"/>
    <w:rsid w:val="00E20111"/>
    <w:rsid w:val="00E90701"/>
    <w:rsid w:val="00E9197F"/>
    <w:rsid w:val="00E945A2"/>
    <w:rsid w:val="00EA4FEE"/>
    <w:rsid w:val="00F04586"/>
    <w:rsid w:val="00F04D71"/>
    <w:rsid w:val="00F10CBE"/>
    <w:rsid w:val="00F255F2"/>
    <w:rsid w:val="00F46DFD"/>
    <w:rsid w:val="00F92A6F"/>
    <w:rsid w:val="00FD5E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8294"/>
  <w15:docId w15:val="{B979D9F0-FE8E-42D0-A673-A9A41CF4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BD450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49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49E1"/>
  </w:style>
  <w:style w:type="paragraph" w:styleId="Stopka">
    <w:name w:val="footer"/>
    <w:basedOn w:val="Normalny"/>
    <w:link w:val="StopkaZnak"/>
    <w:uiPriority w:val="99"/>
    <w:unhideWhenUsed/>
    <w:rsid w:val="008D49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49E1"/>
  </w:style>
  <w:style w:type="paragraph" w:styleId="Tekstdymka">
    <w:name w:val="Balloon Text"/>
    <w:basedOn w:val="Normalny"/>
    <w:link w:val="TekstdymkaZnak"/>
    <w:uiPriority w:val="99"/>
    <w:semiHidden/>
    <w:unhideWhenUsed/>
    <w:rsid w:val="008D49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49E1"/>
    <w:rPr>
      <w:rFonts w:ascii="Tahoma" w:hAnsi="Tahoma" w:cs="Tahoma"/>
      <w:sz w:val="16"/>
      <w:szCs w:val="16"/>
    </w:rPr>
  </w:style>
  <w:style w:type="table" w:styleId="Tabela-Siatka">
    <w:name w:val="Table Grid"/>
    <w:basedOn w:val="Standardowy"/>
    <w:uiPriority w:val="39"/>
    <w:rsid w:val="0078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4B730E"/>
    <w:pPr>
      <w:ind w:left="720"/>
      <w:contextualSpacing/>
    </w:pPr>
  </w:style>
  <w:style w:type="character" w:styleId="Hipercze">
    <w:name w:val="Hyperlink"/>
    <w:basedOn w:val="Domylnaczcionkaakapitu"/>
    <w:uiPriority w:val="99"/>
    <w:unhideWhenUsed/>
    <w:rsid w:val="004B730E"/>
    <w:rPr>
      <w:color w:val="0563C1" w:themeColor="hyperlink"/>
      <w:u w:val="single"/>
    </w:rPr>
  </w:style>
  <w:style w:type="paragraph" w:styleId="NormalnyWeb">
    <w:name w:val="Normal (Web)"/>
    <w:basedOn w:val="Normalny"/>
    <w:uiPriority w:val="99"/>
    <w:unhideWhenUsed/>
    <w:rsid w:val="004C7E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B7161F"/>
    <w:pPr>
      <w:suppressAutoHyphens/>
      <w:autoSpaceDN w:val="0"/>
      <w:spacing w:after="140" w:line="276" w:lineRule="auto"/>
      <w:textAlignment w:val="baseline"/>
    </w:pPr>
    <w:rPr>
      <w:rFonts w:ascii="Liberation Serif" w:eastAsia="NSimSun" w:hAnsi="Liberation Serif" w:cs="Arial"/>
      <w:kern w:val="3"/>
      <w:sz w:val="24"/>
      <w:szCs w:val="24"/>
      <w:lang w:eastAsia="zh-CN" w:bidi="hi-IN"/>
    </w:rPr>
  </w:style>
  <w:style w:type="character" w:styleId="Pogrubienie">
    <w:name w:val="Strong"/>
    <w:basedOn w:val="Domylnaczcionkaakapitu"/>
    <w:uiPriority w:val="22"/>
    <w:qFormat/>
    <w:rsid w:val="0051485B"/>
    <w:rPr>
      <w:b/>
      <w:bCs/>
    </w:rPr>
  </w:style>
  <w:style w:type="character" w:customStyle="1" w:styleId="st">
    <w:name w:val="st"/>
    <w:basedOn w:val="Domylnaczcionkaakapitu"/>
    <w:rsid w:val="008E32E1"/>
  </w:style>
  <w:style w:type="character" w:customStyle="1" w:styleId="Nagwek2Znak">
    <w:name w:val="Nagłówek 2 Znak"/>
    <w:basedOn w:val="Domylnaczcionkaakapitu"/>
    <w:link w:val="Nagwek2"/>
    <w:uiPriority w:val="9"/>
    <w:rsid w:val="00BD450F"/>
    <w:rPr>
      <w:rFonts w:ascii="Times New Roman" w:eastAsia="Times New Roman" w:hAnsi="Times New Roman" w:cs="Times New Roman"/>
      <w:b/>
      <w:bCs/>
      <w:sz w:val="36"/>
      <w:szCs w:val="36"/>
      <w:lang w:eastAsia="pl-PL"/>
    </w:rPr>
  </w:style>
  <w:style w:type="paragraph" w:customStyle="1" w:styleId="def">
    <w:name w:val="def"/>
    <w:basedOn w:val="Normalny"/>
    <w:rsid w:val="00AE2C5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ef1">
    <w:name w:val="def1"/>
    <w:basedOn w:val="Domylnaczcionkaakapitu"/>
    <w:rsid w:val="00AE2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85435">
      <w:bodyDiv w:val="1"/>
      <w:marLeft w:val="0"/>
      <w:marRight w:val="0"/>
      <w:marTop w:val="0"/>
      <w:marBottom w:val="0"/>
      <w:divBdr>
        <w:top w:val="none" w:sz="0" w:space="0" w:color="auto"/>
        <w:left w:val="none" w:sz="0" w:space="0" w:color="auto"/>
        <w:bottom w:val="none" w:sz="0" w:space="0" w:color="auto"/>
        <w:right w:val="none" w:sz="0" w:space="0" w:color="auto"/>
      </w:divBdr>
      <w:divsChild>
        <w:div w:id="1385370186">
          <w:marLeft w:val="0"/>
          <w:marRight w:val="0"/>
          <w:marTop w:val="0"/>
          <w:marBottom w:val="0"/>
          <w:divBdr>
            <w:top w:val="none" w:sz="0" w:space="0" w:color="auto"/>
            <w:left w:val="none" w:sz="0" w:space="0" w:color="auto"/>
            <w:bottom w:val="none" w:sz="0" w:space="0" w:color="auto"/>
            <w:right w:val="none" w:sz="0" w:space="0" w:color="auto"/>
          </w:divBdr>
          <w:divsChild>
            <w:div w:id="6519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84770">
      <w:bodyDiv w:val="1"/>
      <w:marLeft w:val="0"/>
      <w:marRight w:val="0"/>
      <w:marTop w:val="0"/>
      <w:marBottom w:val="0"/>
      <w:divBdr>
        <w:top w:val="none" w:sz="0" w:space="0" w:color="auto"/>
        <w:left w:val="none" w:sz="0" w:space="0" w:color="auto"/>
        <w:bottom w:val="none" w:sz="0" w:space="0" w:color="auto"/>
        <w:right w:val="none" w:sz="0" w:space="0" w:color="auto"/>
      </w:divBdr>
    </w:div>
    <w:div w:id="495925753">
      <w:bodyDiv w:val="1"/>
      <w:marLeft w:val="0"/>
      <w:marRight w:val="0"/>
      <w:marTop w:val="0"/>
      <w:marBottom w:val="0"/>
      <w:divBdr>
        <w:top w:val="none" w:sz="0" w:space="0" w:color="auto"/>
        <w:left w:val="none" w:sz="0" w:space="0" w:color="auto"/>
        <w:bottom w:val="none" w:sz="0" w:space="0" w:color="auto"/>
        <w:right w:val="none" w:sz="0" w:space="0" w:color="auto"/>
      </w:divBdr>
      <w:divsChild>
        <w:div w:id="1555316514">
          <w:marLeft w:val="0"/>
          <w:marRight w:val="0"/>
          <w:marTop w:val="0"/>
          <w:marBottom w:val="0"/>
          <w:divBdr>
            <w:top w:val="none" w:sz="0" w:space="0" w:color="auto"/>
            <w:left w:val="none" w:sz="0" w:space="0" w:color="auto"/>
            <w:bottom w:val="none" w:sz="0" w:space="0" w:color="auto"/>
            <w:right w:val="none" w:sz="0" w:space="0" w:color="auto"/>
          </w:divBdr>
        </w:div>
      </w:divsChild>
    </w:div>
    <w:div w:id="845748315">
      <w:bodyDiv w:val="1"/>
      <w:marLeft w:val="0"/>
      <w:marRight w:val="0"/>
      <w:marTop w:val="0"/>
      <w:marBottom w:val="0"/>
      <w:divBdr>
        <w:top w:val="none" w:sz="0" w:space="0" w:color="auto"/>
        <w:left w:val="none" w:sz="0" w:space="0" w:color="auto"/>
        <w:bottom w:val="none" w:sz="0" w:space="0" w:color="auto"/>
        <w:right w:val="none" w:sz="0" w:space="0" w:color="auto"/>
      </w:divBdr>
    </w:div>
    <w:div w:id="849416276">
      <w:bodyDiv w:val="1"/>
      <w:marLeft w:val="0"/>
      <w:marRight w:val="0"/>
      <w:marTop w:val="0"/>
      <w:marBottom w:val="0"/>
      <w:divBdr>
        <w:top w:val="none" w:sz="0" w:space="0" w:color="auto"/>
        <w:left w:val="none" w:sz="0" w:space="0" w:color="auto"/>
        <w:bottom w:val="none" w:sz="0" w:space="0" w:color="auto"/>
        <w:right w:val="none" w:sz="0" w:space="0" w:color="auto"/>
      </w:divBdr>
      <w:divsChild>
        <w:div w:id="2139446840">
          <w:marLeft w:val="0"/>
          <w:marRight w:val="0"/>
          <w:marTop w:val="0"/>
          <w:marBottom w:val="0"/>
          <w:divBdr>
            <w:top w:val="none" w:sz="0" w:space="0" w:color="auto"/>
            <w:left w:val="none" w:sz="0" w:space="0" w:color="auto"/>
            <w:bottom w:val="none" w:sz="0" w:space="0" w:color="auto"/>
            <w:right w:val="none" w:sz="0" w:space="0" w:color="auto"/>
          </w:divBdr>
          <w:divsChild>
            <w:div w:id="1050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70406">
      <w:bodyDiv w:val="1"/>
      <w:marLeft w:val="0"/>
      <w:marRight w:val="0"/>
      <w:marTop w:val="0"/>
      <w:marBottom w:val="0"/>
      <w:divBdr>
        <w:top w:val="none" w:sz="0" w:space="0" w:color="auto"/>
        <w:left w:val="none" w:sz="0" w:space="0" w:color="auto"/>
        <w:bottom w:val="none" w:sz="0" w:space="0" w:color="auto"/>
        <w:right w:val="none" w:sz="0" w:space="0" w:color="auto"/>
      </w:divBdr>
    </w:div>
    <w:div w:id="953638903">
      <w:bodyDiv w:val="1"/>
      <w:marLeft w:val="0"/>
      <w:marRight w:val="0"/>
      <w:marTop w:val="0"/>
      <w:marBottom w:val="0"/>
      <w:divBdr>
        <w:top w:val="none" w:sz="0" w:space="0" w:color="auto"/>
        <w:left w:val="none" w:sz="0" w:space="0" w:color="auto"/>
        <w:bottom w:val="none" w:sz="0" w:space="0" w:color="auto"/>
        <w:right w:val="none" w:sz="0" w:space="0" w:color="auto"/>
      </w:divBdr>
      <w:divsChild>
        <w:div w:id="318465754">
          <w:marLeft w:val="0"/>
          <w:marRight w:val="0"/>
          <w:marTop w:val="0"/>
          <w:marBottom w:val="0"/>
          <w:divBdr>
            <w:top w:val="none" w:sz="0" w:space="0" w:color="auto"/>
            <w:left w:val="none" w:sz="0" w:space="0" w:color="auto"/>
            <w:bottom w:val="none" w:sz="0" w:space="0" w:color="auto"/>
            <w:right w:val="none" w:sz="0" w:space="0" w:color="auto"/>
          </w:divBdr>
        </w:div>
        <w:div w:id="224529435">
          <w:marLeft w:val="0"/>
          <w:marRight w:val="0"/>
          <w:marTop w:val="0"/>
          <w:marBottom w:val="0"/>
          <w:divBdr>
            <w:top w:val="none" w:sz="0" w:space="0" w:color="auto"/>
            <w:left w:val="none" w:sz="0" w:space="0" w:color="auto"/>
            <w:bottom w:val="none" w:sz="0" w:space="0" w:color="auto"/>
            <w:right w:val="none" w:sz="0" w:space="0" w:color="auto"/>
          </w:divBdr>
          <w:divsChild>
            <w:div w:id="710612694">
              <w:marLeft w:val="0"/>
              <w:marRight w:val="0"/>
              <w:marTop w:val="0"/>
              <w:marBottom w:val="0"/>
              <w:divBdr>
                <w:top w:val="none" w:sz="0" w:space="0" w:color="auto"/>
                <w:left w:val="none" w:sz="0" w:space="0" w:color="auto"/>
                <w:bottom w:val="none" w:sz="0" w:space="0" w:color="auto"/>
                <w:right w:val="none" w:sz="0" w:space="0" w:color="auto"/>
              </w:divBdr>
            </w:div>
          </w:divsChild>
        </w:div>
        <w:div w:id="1874493257">
          <w:marLeft w:val="0"/>
          <w:marRight w:val="0"/>
          <w:marTop w:val="0"/>
          <w:marBottom w:val="0"/>
          <w:divBdr>
            <w:top w:val="none" w:sz="0" w:space="0" w:color="auto"/>
            <w:left w:val="none" w:sz="0" w:space="0" w:color="auto"/>
            <w:bottom w:val="none" w:sz="0" w:space="0" w:color="auto"/>
            <w:right w:val="none" w:sz="0" w:space="0" w:color="auto"/>
          </w:divBdr>
        </w:div>
        <w:div w:id="976573544">
          <w:marLeft w:val="0"/>
          <w:marRight w:val="0"/>
          <w:marTop w:val="0"/>
          <w:marBottom w:val="0"/>
          <w:divBdr>
            <w:top w:val="none" w:sz="0" w:space="0" w:color="auto"/>
            <w:left w:val="none" w:sz="0" w:space="0" w:color="auto"/>
            <w:bottom w:val="none" w:sz="0" w:space="0" w:color="auto"/>
            <w:right w:val="none" w:sz="0" w:space="0" w:color="auto"/>
          </w:divBdr>
        </w:div>
        <w:div w:id="847134982">
          <w:marLeft w:val="0"/>
          <w:marRight w:val="0"/>
          <w:marTop w:val="0"/>
          <w:marBottom w:val="0"/>
          <w:divBdr>
            <w:top w:val="none" w:sz="0" w:space="0" w:color="auto"/>
            <w:left w:val="none" w:sz="0" w:space="0" w:color="auto"/>
            <w:bottom w:val="none" w:sz="0" w:space="0" w:color="auto"/>
            <w:right w:val="none" w:sz="0" w:space="0" w:color="auto"/>
          </w:divBdr>
        </w:div>
        <w:div w:id="462381291">
          <w:marLeft w:val="0"/>
          <w:marRight w:val="0"/>
          <w:marTop w:val="0"/>
          <w:marBottom w:val="0"/>
          <w:divBdr>
            <w:top w:val="none" w:sz="0" w:space="0" w:color="auto"/>
            <w:left w:val="none" w:sz="0" w:space="0" w:color="auto"/>
            <w:bottom w:val="none" w:sz="0" w:space="0" w:color="auto"/>
            <w:right w:val="none" w:sz="0" w:space="0" w:color="auto"/>
          </w:divBdr>
        </w:div>
      </w:divsChild>
    </w:div>
    <w:div w:id="1106269696">
      <w:bodyDiv w:val="1"/>
      <w:marLeft w:val="0"/>
      <w:marRight w:val="0"/>
      <w:marTop w:val="0"/>
      <w:marBottom w:val="0"/>
      <w:divBdr>
        <w:top w:val="none" w:sz="0" w:space="0" w:color="auto"/>
        <w:left w:val="none" w:sz="0" w:space="0" w:color="auto"/>
        <w:bottom w:val="none" w:sz="0" w:space="0" w:color="auto"/>
        <w:right w:val="none" w:sz="0" w:space="0" w:color="auto"/>
      </w:divBdr>
    </w:div>
    <w:div w:id="1534031980">
      <w:bodyDiv w:val="1"/>
      <w:marLeft w:val="0"/>
      <w:marRight w:val="0"/>
      <w:marTop w:val="0"/>
      <w:marBottom w:val="0"/>
      <w:divBdr>
        <w:top w:val="none" w:sz="0" w:space="0" w:color="auto"/>
        <w:left w:val="none" w:sz="0" w:space="0" w:color="auto"/>
        <w:bottom w:val="none" w:sz="0" w:space="0" w:color="auto"/>
        <w:right w:val="none" w:sz="0" w:space="0" w:color="auto"/>
      </w:divBdr>
    </w:div>
    <w:div w:id="1582370197">
      <w:bodyDiv w:val="1"/>
      <w:marLeft w:val="0"/>
      <w:marRight w:val="0"/>
      <w:marTop w:val="0"/>
      <w:marBottom w:val="0"/>
      <w:divBdr>
        <w:top w:val="none" w:sz="0" w:space="0" w:color="auto"/>
        <w:left w:val="none" w:sz="0" w:space="0" w:color="auto"/>
        <w:bottom w:val="none" w:sz="0" w:space="0" w:color="auto"/>
        <w:right w:val="none" w:sz="0" w:space="0" w:color="auto"/>
      </w:divBdr>
    </w:div>
    <w:div w:id="187612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910BF-B80C-4F35-BB7E-8B554E4F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1857</Words>
  <Characters>11143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inwestycje@pinczow.pl</dc:creator>
  <cp:keywords/>
  <dc:description/>
  <cp:lastModifiedBy>Monika Strojna</cp:lastModifiedBy>
  <cp:revision>9</cp:revision>
  <cp:lastPrinted>2021-04-14T10:09:00Z</cp:lastPrinted>
  <dcterms:created xsi:type="dcterms:W3CDTF">2021-04-14T12:12:00Z</dcterms:created>
  <dcterms:modified xsi:type="dcterms:W3CDTF">2021-04-14T15:27:00Z</dcterms:modified>
</cp:coreProperties>
</file>